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59D5" w:rsidRDefault="00BE59D5" w:rsidP="00BE59D5">
      <w:bookmarkStart w:id="0" w:name="_GoBack"/>
      <w:bookmarkEnd w:id="0"/>
    </w:p>
    <w:p w:rsidR="00BE59D5" w:rsidRPr="007B655F" w:rsidRDefault="007B655F" w:rsidP="007B655F">
      <w:pPr>
        <w:pStyle w:val="Titre"/>
      </w:pPr>
      <w:r w:rsidRPr="007B655F">
        <w:t xml:space="preserve">La </w:t>
      </w:r>
      <w:r w:rsidR="00D81B93">
        <w:t xml:space="preserve">Quatrième </w:t>
      </w:r>
      <w:r w:rsidRPr="007B655F">
        <w:t>semaine du développement embryonnaire</w:t>
      </w:r>
    </w:p>
    <w:p w:rsidR="00D81B93" w:rsidRDefault="00D81B93" w:rsidP="00D81B93">
      <w:pPr>
        <w:rPr>
          <w:sz w:val="16"/>
          <w:szCs w:val="16"/>
        </w:rPr>
      </w:pPr>
      <w:bookmarkStart w:id="1" w:name="_Toc416590395"/>
    </w:p>
    <w:p w:rsidR="00D81B93" w:rsidRDefault="00D81B93" w:rsidP="003B664F">
      <w:pPr>
        <w:pStyle w:val="Titre2"/>
        <w:numPr>
          <w:ilvl w:val="0"/>
          <w:numId w:val="29"/>
        </w:numPr>
      </w:pPr>
      <w:bookmarkStart w:id="2" w:name="_Toc416590402"/>
      <w:r>
        <w:t>GENERALITES</w:t>
      </w:r>
      <w:bookmarkEnd w:id="2"/>
    </w:p>
    <w:p w:rsidR="006F19F2" w:rsidRPr="006F19F2" w:rsidRDefault="006F19F2" w:rsidP="006F19F2"/>
    <w:p w:rsidR="00D81B93" w:rsidRDefault="00D81B93" w:rsidP="00D81B93">
      <w:pPr>
        <w:rPr>
          <w:snapToGrid w:val="0"/>
        </w:rPr>
      </w:pPr>
      <w:r>
        <w:t>La quatrième semaine du développement est</w:t>
      </w:r>
      <w:r>
        <w:rPr>
          <w:snapToGrid w:val="0"/>
        </w:rPr>
        <w:t xml:space="preserve"> marquée par deux grands phénomènes :</w:t>
      </w:r>
    </w:p>
    <w:p w:rsidR="006F19F2" w:rsidRDefault="006F19F2" w:rsidP="00D81B93">
      <w:pPr>
        <w:rPr>
          <w:snapToGrid w:val="0"/>
        </w:rPr>
      </w:pPr>
    </w:p>
    <w:p w:rsidR="006F19F2" w:rsidRPr="006F19F2" w:rsidRDefault="00734445" w:rsidP="003B664F">
      <w:pPr>
        <w:widowControl w:val="0"/>
        <w:numPr>
          <w:ilvl w:val="0"/>
          <w:numId w:val="3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délimitation de l'embryon</w:t>
      </w:r>
      <w:r w:rsidR="00D81B93">
        <w:rPr>
          <w:snapToGrid w:val="0"/>
        </w:rPr>
        <w:t xml:space="preserve"> : qui transforme le disque embryonnaire tridermique en une forme tubulaire grâce à une plicature qui intervient à la fois dans le sens transvers</w:t>
      </w:r>
      <w:r>
        <w:rPr>
          <w:snapToGrid w:val="0"/>
        </w:rPr>
        <w:t>al et dans le sens longitudinal</w:t>
      </w:r>
    </w:p>
    <w:p w:rsidR="00D81B93" w:rsidRDefault="00734445" w:rsidP="003B664F">
      <w:pPr>
        <w:widowControl w:val="0"/>
        <w:numPr>
          <w:ilvl w:val="0"/>
          <w:numId w:val="3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début de l'</w:t>
      </w:r>
      <w:r w:rsidR="00D81B93">
        <w:rPr>
          <w:b/>
          <w:snapToGrid w:val="0"/>
        </w:rPr>
        <w:t>organogenèse</w:t>
      </w:r>
      <w:r w:rsidR="00D81B93">
        <w:rPr>
          <w:snapToGrid w:val="0"/>
        </w:rPr>
        <w:t xml:space="preserve"> : marqué par l'apparition, à partir de chacun des trois feuillets embryonnaires, des ébauches des organes (Voir tableau ci-dessous).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Par la suite, la période embryonnaire s'étalera jusqu'à la 8</w:t>
      </w:r>
      <w:r>
        <w:rPr>
          <w:snapToGrid w:val="0"/>
          <w:vertAlign w:val="superscript"/>
        </w:rPr>
        <w:t>ème</w:t>
      </w:r>
      <w:r>
        <w:rPr>
          <w:snapToGrid w:val="0"/>
        </w:rPr>
        <w:t xml:space="preserve"> semaine. Ainsi, à la fin du deuxième mois, les principales formes extérieures sont reconnaissables.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</w:p>
    <w:tbl>
      <w:tblPr>
        <w:tblW w:w="94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8"/>
        <w:gridCol w:w="7088"/>
      </w:tblGrid>
      <w:tr w:rsidR="00D81B93" w:rsidRPr="00D81B93" w:rsidTr="00D81B93">
        <w:trPr>
          <w:trHeight w:val="510"/>
          <w:jc w:val="center"/>
        </w:trPr>
        <w:tc>
          <w:tcPr>
            <w:tcW w:w="9426" w:type="dxa"/>
            <w:gridSpan w:val="2"/>
            <w:vAlign w:val="center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  <w:r w:rsidRPr="00D81B93">
              <w:rPr>
                <w:b/>
                <w:caps/>
                <w:snapToGrid w:val="0"/>
              </w:rPr>
              <w:t>Principaux dérivés des feuillets embryonnaires</w:t>
            </w:r>
          </w:p>
        </w:tc>
      </w:tr>
      <w:tr w:rsidR="00D81B93" w:rsidRPr="00D81B93" w:rsidTr="00D81B93">
        <w:trPr>
          <w:trHeight w:val="1020"/>
          <w:jc w:val="center"/>
        </w:trPr>
        <w:tc>
          <w:tcPr>
            <w:tcW w:w="2338" w:type="dxa"/>
            <w:vAlign w:val="center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  <w:r w:rsidRPr="00D81B93">
              <w:rPr>
                <w:b/>
                <w:caps/>
                <w:snapToGrid w:val="0"/>
              </w:rPr>
              <w:t>FEUILLET EMBRYONNAIRE</w:t>
            </w:r>
          </w:p>
        </w:tc>
        <w:tc>
          <w:tcPr>
            <w:tcW w:w="7088" w:type="dxa"/>
            <w:vAlign w:val="center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  <w:r w:rsidRPr="00D81B93">
              <w:rPr>
                <w:b/>
                <w:caps/>
                <w:snapToGrid w:val="0"/>
              </w:rPr>
              <w:t>PRINCIPAUX  DERIVES</w:t>
            </w:r>
          </w:p>
        </w:tc>
      </w:tr>
      <w:tr w:rsidR="00D81B93" w:rsidTr="00D81B93">
        <w:trPr>
          <w:jc w:val="center"/>
        </w:trPr>
        <w:tc>
          <w:tcPr>
            <w:tcW w:w="2338" w:type="dxa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EC289E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  <w:color w:val="FF0000"/>
              </w:rPr>
            </w:pPr>
            <w:r w:rsidRPr="00EC289E">
              <w:rPr>
                <w:b/>
                <w:caps/>
                <w:snapToGrid w:val="0"/>
                <w:color w:val="FF0000"/>
              </w:rPr>
              <w:t>Ectoblaste</w:t>
            </w:r>
          </w:p>
        </w:tc>
        <w:tc>
          <w:tcPr>
            <w:tcW w:w="7088" w:type="dxa"/>
          </w:tcPr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Système nerveux central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Système nerveux périphérique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Epithélium sensoriel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Hypophyse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Epiderme, phanères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Glandes sous-cutanées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Glande mammaire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Email des dents</w:t>
            </w:r>
          </w:p>
          <w:p w:rsidR="00D81B93" w:rsidRP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Médullo-surrénale</w:t>
            </w:r>
          </w:p>
        </w:tc>
      </w:tr>
      <w:tr w:rsidR="00D81B93" w:rsidTr="00D81B93">
        <w:trPr>
          <w:jc w:val="center"/>
        </w:trPr>
        <w:tc>
          <w:tcPr>
            <w:tcW w:w="2338" w:type="dxa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EC289E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  <w:color w:val="FF0000"/>
              </w:rPr>
            </w:pPr>
            <w:r w:rsidRPr="00EC289E">
              <w:rPr>
                <w:b/>
                <w:caps/>
                <w:snapToGrid w:val="0"/>
                <w:color w:val="FF0000"/>
              </w:rPr>
              <w:t>Mésoblaste</w:t>
            </w:r>
          </w:p>
        </w:tc>
        <w:tc>
          <w:tcPr>
            <w:tcW w:w="7088" w:type="dxa"/>
          </w:tcPr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Squelette (os, cartilage)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 xml:space="preserve">Tissu conjonctif 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Muscles (striés, lisses)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Système cardio-vasculaire et lymphatique, cellules sanguines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Reins, voies urinaires hautes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Appareil génital (gonades, voies génitales)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Péricarde, plèvre, péritoine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Rate</w:t>
            </w:r>
          </w:p>
          <w:p w:rsidR="00D81B93" w:rsidRPr="00D81B93" w:rsidRDefault="00734445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Corticosurrénale</w:t>
            </w:r>
          </w:p>
        </w:tc>
      </w:tr>
      <w:tr w:rsidR="00D81B93" w:rsidTr="00D81B93">
        <w:trPr>
          <w:jc w:val="center"/>
        </w:trPr>
        <w:tc>
          <w:tcPr>
            <w:tcW w:w="2338" w:type="dxa"/>
          </w:tcPr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</w:p>
          <w:p w:rsidR="00D81B93" w:rsidRPr="00EC289E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  <w:color w:val="FF0000"/>
              </w:rPr>
            </w:pPr>
          </w:p>
          <w:p w:rsidR="00D81B93" w:rsidRPr="00D81B93" w:rsidRDefault="00D81B93" w:rsidP="00D81B93">
            <w:pPr>
              <w:pStyle w:val="En-tte"/>
              <w:widowControl w:val="0"/>
              <w:tabs>
                <w:tab w:val="clear" w:pos="4536"/>
                <w:tab w:val="clear" w:pos="9072"/>
              </w:tabs>
              <w:spacing w:line="240" w:lineRule="atLeast"/>
              <w:jc w:val="center"/>
              <w:rPr>
                <w:b/>
                <w:caps/>
                <w:snapToGrid w:val="0"/>
              </w:rPr>
            </w:pPr>
            <w:r w:rsidRPr="00EC289E">
              <w:rPr>
                <w:b/>
                <w:caps/>
                <w:snapToGrid w:val="0"/>
                <w:color w:val="FF0000"/>
              </w:rPr>
              <w:t>EnDoblaste</w:t>
            </w:r>
          </w:p>
        </w:tc>
        <w:tc>
          <w:tcPr>
            <w:tcW w:w="7088" w:type="dxa"/>
          </w:tcPr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Tube digestif (épithélium)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Foie, pancréas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Appareil respiratoire (épithélium)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Oreille moyenne, trompe d'Eustache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Thyroïde, parathyroïdes (parenchyme)</w:t>
            </w:r>
          </w:p>
          <w:p w:rsid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Thymus, amygdales (parenchyme)</w:t>
            </w:r>
          </w:p>
          <w:p w:rsidR="00D81B93" w:rsidRPr="00D81B93" w:rsidRDefault="00D81B93" w:rsidP="003B664F">
            <w:pPr>
              <w:widowControl w:val="0"/>
              <w:numPr>
                <w:ilvl w:val="0"/>
                <w:numId w:val="28"/>
              </w:numPr>
              <w:spacing w:line="240" w:lineRule="atLeast"/>
              <w:ind w:left="321" w:hanging="321"/>
              <w:rPr>
                <w:snapToGrid w:val="0"/>
              </w:rPr>
            </w:pPr>
            <w:r>
              <w:rPr>
                <w:snapToGrid w:val="0"/>
              </w:rPr>
              <w:t>Vessie, urètre (épithélium)</w:t>
            </w:r>
          </w:p>
        </w:tc>
      </w:tr>
    </w:tbl>
    <w:p w:rsidR="00D81B93" w:rsidRDefault="00D81B93" w:rsidP="00D81B93">
      <w:pPr>
        <w:widowControl w:val="0"/>
        <w:spacing w:line="240" w:lineRule="atLeast"/>
        <w:rPr>
          <w:snapToGrid w:val="0"/>
          <w:sz w:val="16"/>
        </w:rPr>
      </w:pPr>
    </w:p>
    <w:p w:rsidR="00D81B93" w:rsidRDefault="00D81B93" w:rsidP="00D81B93">
      <w:pPr>
        <w:widowControl w:val="0"/>
        <w:spacing w:line="240" w:lineRule="atLeast"/>
        <w:jc w:val="center"/>
        <w:rPr>
          <w:snapToGrid w:val="0"/>
          <w:sz w:val="4"/>
          <w:szCs w:val="4"/>
        </w:rPr>
      </w:pPr>
      <w:r>
        <w:rPr>
          <w:snapToGrid w:val="0"/>
        </w:rPr>
        <w:br w:type="page"/>
      </w:r>
    </w:p>
    <w:p w:rsidR="00D81B93" w:rsidRDefault="00D81B93" w:rsidP="00D81B93">
      <w:pPr>
        <w:pStyle w:val="Titre2"/>
        <w:rPr>
          <w:snapToGrid w:val="0"/>
        </w:rPr>
      </w:pPr>
      <w:bookmarkStart w:id="3" w:name="_Toc416590403"/>
      <w:r>
        <w:rPr>
          <w:snapToGrid w:val="0"/>
        </w:rPr>
        <w:lastRenderedPageBreak/>
        <w:t>II. DELIMITATION DE L'EMBRYON</w:t>
      </w:r>
      <w:bookmarkEnd w:id="3"/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</w:p>
    <w:p w:rsidR="005845F7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Elle va transformer le disque embryonnaire en un </w:t>
      </w:r>
      <w:r>
        <w:rPr>
          <w:b/>
          <w:snapToGrid w:val="0"/>
        </w:rPr>
        <w:t>embryon préfigurant la morphologie humaine définitive</w:t>
      </w:r>
      <w:r>
        <w:rPr>
          <w:snapToGrid w:val="0"/>
        </w:rPr>
        <w:t>.</w:t>
      </w:r>
    </w:p>
    <w:p w:rsidR="005845F7" w:rsidRPr="00A15DE0" w:rsidRDefault="00D81B93" w:rsidP="003B664F">
      <w:pPr>
        <w:pStyle w:val="Titre3"/>
        <w:numPr>
          <w:ilvl w:val="0"/>
          <w:numId w:val="2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D81B93">
        <w:rPr>
          <w:rFonts w:ascii="Times New Roman" w:hAnsi="Times New Roman" w:cs="Times New Roman"/>
          <w:snapToGrid w:val="0"/>
          <w:u w:val="single"/>
        </w:rPr>
        <w:t>Dans le sens transversal</w:t>
      </w:r>
    </w:p>
    <w:p w:rsidR="005845F7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La délimitation est la résultante de deux phénomènes </w:t>
      </w:r>
      <w:r w:rsidR="00734445">
        <w:rPr>
          <w:snapToGrid w:val="0"/>
        </w:rPr>
        <w:t>opposés :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5845F7" w:rsidRPr="005845F7" w:rsidTr="005845F7">
        <w:trPr>
          <w:jc w:val="center"/>
        </w:trPr>
        <w:tc>
          <w:tcPr>
            <w:tcW w:w="4606" w:type="dxa"/>
          </w:tcPr>
          <w:p w:rsidR="005845F7" w:rsidRPr="005845F7" w:rsidRDefault="005845F7" w:rsidP="005845F7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</w:t>
            </w:r>
            <w:r w:rsidRPr="005845F7">
              <w:rPr>
                <w:snapToGrid w:val="0"/>
              </w:rPr>
              <w:t xml:space="preserve">le </w:t>
            </w:r>
            <w:r w:rsidRPr="005845F7">
              <w:rPr>
                <w:b/>
                <w:snapToGrid w:val="0"/>
              </w:rPr>
              <w:t>développement très rapide de la cavité amniotique</w:t>
            </w:r>
            <w:r w:rsidRPr="005845F7">
              <w:rPr>
                <w:snapToGrid w:val="0"/>
              </w:rPr>
              <w:t xml:space="preserve"> couplé à la stagn</w:t>
            </w:r>
            <w:r>
              <w:rPr>
                <w:snapToGrid w:val="0"/>
              </w:rPr>
              <w:t>ation du lécithocèle secondaire</w:t>
            </w:r>
          </w:p>
          <w:p w:rsidR="005845F7" w:rsidRPr="005845F7" w:rsidRDefault="005845F7" w:rsidP="005845F7">
            <w:pPr>
              <w:widowControl w:val="0"/>
              <w:spacing w:line="240" w:lineRule="atLeast"/>
              <w:jc w:val="left"/>
              <w:rPr>
                <w:snapToGrid w:val="0"/>
              </w:rPr>
            </w:pPr>
          </w:p>
        </w:tc>
        <w:tc>
          <w:tcPr>
            <w:tcW w:w="4606" w:type="dxa"/>
            <w:vAlign w:val="center"/>
          </w:tcPr>
          <w:p w:rsidR="005845F7" w:rsidRPr="005845F7" w:rsidRDefault="005845F7" w:rsidP="005845F7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</w:t>
            </w:r>
            <w:r w:rsidRPr="005845F7">
              <w:rPr>
                <w:snapToGrid w:val="0"/>
              </w:rPr>
              <w:t xml:space="preserve">le </w:t>
            </w:r>
            <w:r w:rsidRPr="005845F7">
              <w:rPr>
                <w:b/>
                <w:snapToGrid w:val="0"/>
              </w:rPr>
              <w:t>développement lent de la sphère choriale</w:t>
            </w:r>
            <w:r w:rsidRPr="005845F7">
              <w:rPr>
                <w:snapToGrid w:val="0"/>
              </w:rPr>
              <w:t xml:space="preserve"> obligeant l'ensemble de l'embryon et de ses annexes qui se développent activement (cavité amniotique +++), à se replier sur eux-mêmes</w:t>
            </w:r>
          </w:p>
        </w:tc>
      </w:tr>
      <w:tr w:rsidR="005845F7" w:rsidRPr="005845F7" w:rsidTr="005845F7">
        <w:trPr>
          <w:jc w:val="center"/>
        </w:trPr>
        <w:tc>
          <w:tcPr>
            <w:tcW w:w="4606" w:type="dxa"/>
            <w:vAlign w:val="center"/>
          </w:tcPr>
          <w:p w:rsidR="005845F7" w:rsidRPr="005845F7" w:rsidRDefault="005845F7" w:rsidP="005845F7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5845F7">
              <w:rPr>
                <w:noProof/>
                <w:snapToGrid w:val="0"/>
              </w:rPr>
              <w:drawing>
                <wp:inline distT="0" distB="0" distL="0" distR="0">
                  <wp:extent cx="2156412" cy="2493888"/>
                  <wp:effectExtent l="19050" t="0" r="0" b="0"/>
                  <wp:docPr id="2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1247" t="22548" r="51330" b="8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789" cy="2508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:rsidR="005845F7" w:rsidRPr="005845F7" w:rsidRDefault="005845F7" w:rsidP="005845F7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5845F7">
              <w:rPr>
                <w:noProof/>
                <w:snapToGrid w:val="0"/>
              </w:rPr>
              <w:drawing>
                <wp:inline distT="0" distB="0" distL="0" distR="0">
                  <wp:extent cx="2035441" cy="2377440"/>
                  <wp:effectExtent l="19050" t="0" r="2909" b="0"/>
                  <wp:docPr id="3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53434" t="26677" r="10001" b="4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57" cy="2380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5DE0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Ainsi, les bords du disque embryonnaire sont repoussés vers la face ventrale de l'embryon. Cet </w:t>
      </w:r>
      <w:r>
        <w:rPr>
          <w:b/>
          <w:snapToGrid w:val="0"/>
        </w:rPr>
        <w:t>enroulement latéral</w:t>
      </w:r>
      <w:r>
        <w:rPr>
          <w:snapToGrid w:val="0"/>
        </w:rPr>
        <w:t xml:space="preserve"> détermine la </w:t>
      </w:r>
      <w:r>
        <w:rPr>
          <w:b/>
          <w:snapToGrid w:val="0"/>
        </w:rPr>
        <w:t>délimitation transversale de l'embryon</w:t>
      </w:r>
      <w:r>
        <w:rPr>
          <w:snapToGrid w:val="0"/>
        </w:rPr>
        <w:t>, caractérisée par les événements suivants :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2602"/>
        <w:gridCol w:w="3666"/>
      </w:tblGrid>
      <w:tr w:rsidR="00A15DE0" w:rsidTr="00A15DE0">
        <w:tc>
          <w:tcPr>
            <w:tcW w:w="3020" w:type="dxa"/>
          </w:tcPr>
          <w:p w:rsidR="00A15DE0" w:rsidRDefault="00A15DE0" w:rsidP="00A15DE0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les deux bords se rejoignent sur la ligne médiane. </w:t>
            </w:r>
            <w:r>
              <w:rPr>
                <w:b/>
                <w:snapToGrid w:val="0"/>
              </w:rPr>
              <w:t xml:space="preserve">L'embryon est alors entièrement cerné par </w:t>
            </w:r>
            <w:r w:rsidR="00734445">
              <w:rPr>
                <w:b/>
                <w:snapToGrid w:val="0"/>
              </w:rPr>
              <w:t>l’épiblaste ;</w:t>
            </w:r>
          </w:p>
          <w:p w:rsidR="00A15DE0" w:rsidRDefault="00A15DE0" w:rsidP="00A15DE0">
            <w:pPr>
              <w:widowControl w:val="0"/>
              <w:spacing w:line="240" w:lineRule="atLeast"/>
              <w:rPr>
                <w:snapToGrid w:val="0"/>
              </w:rPr>
            </w:pPr>
          </w:p>
        </w:tc>
        <w:tc>
          <w:tcPr>
            <w:tcW w:w="2602" w:type="dxa"/>
          </w:tcPr>
          <w:p w:rsidR="00A15DE0" w:rsidRDefault="00A15DE0" w:rsidP="00A15DE0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les éléments du mésoblaste somatique et splanchnique (lames dérivées du mésoblaste latéral) se soudent sur la ligne médiane </w:t>
            </w:r>
            <w:r>
              <w:rPr>
                <w:b/>
                <w:snapToGrid w:val="0"/>
              </w:rPr>
              <w:t>isolant le cœlome intra-embryonnaire</w:t>
            </w:r>
            <w:r>
              <w:rPr>
                <w:snapToGrid w:val="0"/>
              </w:rPr>
              <w:t xml:space="preserve"> du cœlome extra-</w:t>
            </w:r>
            <w:r w:rsidR="00734445">
              <w:rPr>
                <w:snapToGrid w:val="0"/>
              </w:rPr>
              <w:t>embryonnaire ;</w:t>
            </w:r>
          </w:p>
          <w:p w:rsidR="00A15DE0" w:rsidRDefault="00A15DE0" w:rsidP="00A15DE0">
            <w:pPr>
              <w:widowControl w:val="0"/>
              <w:spacing w:line="240" w:lineRule="atLeast"/>
              <w:rPr>
                <w:snapToGrid w:val="0"/>
              </w:rPr>
            </w:pPr>
          </w:p>
        </w:tc>
        <w:tc>
          <w:tcPr>
            <w:tcW w:w="3666" w:type="dxa"/>
          </w:tcPr>
          <w:p w:rsidR="00A15DE0" w:rsidRDefault="00A15DE0" w:rsidP="00A15DE0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le lécithocèle secondaire ou </w:t>
            </w:r>
            <w:r>
              <w:rPr>
                <w:b/>
                <w:snapToGrid w:val="0"/>
              </w:rPr>
              <w:t>vésicule vitelline</w:t>
            </w:r>
            <w:r>
              <w:rPr>
                <w:snapToGrid w:val="0"/>
              </w:rPr>
              <w:t xml:space="preserve"> s'étrangle progressivement, donnant naissance à trois régions :</w:t>
            </w:r>
          </w:p>
          <w:p w:rsidR="00A15DE0" w:rsidRDefault="00A15DE0" w:rsidP="00A15DE0">
            <w:pPr>
              <w:widowControl w:val="0"/>
              <w:spacing w:line="240" w:lineRule="atLeast"/>
              <w:ind w:left="360"/>
              <w:rPr>
                <w:b/>
                <w:snapToGrid w:val="0"/>
              </w:rPr>
            </w:pPr>
            <w:r>
              <w:rPr>
                <w:snapToGrid w:val="0"/>
              </w:rPr>
              <w:t>+l'</w:t>
            </w:r>
            <w:r>
              <w:rPr>
                <w:b/>
                <w:snapToGrid w:val="0"/>
              </w:rPr>
              <w:t xml:space="preserve">intestin primitif </w:t>
            </w:r>
            <w:r>
              <w:rPr>
                <w:snapToGrid w:val="0"/>
              </w:rPr>
              <w:t xml:space="preserve">: naît par </w:t>
            </w:r>
            <w:r w:rsidR="00734445">
              <w:rPr>
                <w:snapToGrid w:val="0"/>
              </w:rPr>
              <w:t>tabulation</w:t>
            </w:r>
            <w:r>
              <w:rPr>
                <w:snapToGrid w:val="0"/>
              </w:rPr>
              <w:t xml:space="preserve"> à partir du toit du </w:t>
            </w:r>
            <w:r w:rsidR="00734445">
              <w:rPr>
                <w:snapToGrid w:val="0"/>
              </w:rPr>
              <w:t>lécithocèle ;</w:t>
            </w:r>
          </w:p>
          <w:p w:rsidR="00A15DE0" w:rsidRDefault="00A15DE0" w:rsidP="00A15DE0">
            <w:pPr>
              <w:widowControl w:val="0"/>
              <w:spacing w:line="240" w:lineRule="atLeast"/>
              <w:ind w:left="360"/>
              <w:rPr>
                <w:b/>
                <w:snapToGrid w:val="0"/>
              </w:rPr>
            </w:pPr>
            <w:r>
              <w:rPr>
                <w:snapToGrid w:val="0"/>
              </w:rPr>
              <w:t xml:space="preserve">+le </w:t>
            </w:r>
            <w:r>
              <w:rPr>
                <w:b/>
                <w:snapToGrid w:val="0"/>
              </w:rPr>
              <w:t>canal vitellin</w:t>
            </w:r>
            <w:r>
              <w:rPr>
                <w:snapToGrid w:val="0"/>
              </w:rPr>
              <w:t xml:space="preserve"> : canal étroit traversant la face ventrale de l'embryon dans une zone appelée la </w:t>
            </w:r>
            <w:r>
              <w:rPr>
                <w:b/>
                <w:snapToGrid w:val="0"/>
              </w:rPr>
              <w:t xml:space="preserve">région </w:t>
            </w:r>
            <w:r w:rsidR="00734445">
              <w:rPr>
                <w:b/>
                <w:snapToGrid w:val="0"/>
              </w:rPr>
              <w:t>ombilicale</w:t>
            </w:r>
            <w:r w:rsidR="00734445">
              <w:rPr>
                <w:snapToGrid w:val="0"/>
              </w:rPr>
              <w:t xml:space="preserve"> ;</w:t>
            </w:r>
          </w:p>
          <w:p w:rsidR="00A15DE0" w:rsidRDefault="00A15DE0" w:rsidP="00A15DE0">
            <w:pPr>
              <w:widowControl w:val="0"/>
              <w:spacing w:line="240" w:lineRule="atLeast"/>
              <w:ind w:left="360"/>
              <w:rPr>
                <w:snapToGrid w:val="0"/>
              </w:rPr>
            </w:pPr>
            <w:r>
              <w:rPr>
                <w:snapToGrid w:val="0"/>
              </w:rPr>
              <w:t xml:space="preserve">+la </w:t>
            </w:r>
            <w:r>
              <w:rPr>
                <w:b/>
                <w:snapToGrid w:val="0"/>
              </w:rPr>
              <w:t>vésicule ombilicale</w:t>
            </w:r>
            <w:r>
              <w:rPr>
                <w:snapToGrid w:val="0"/>
              </w:rPr>
              <w:t>.</w:t>
            </w:r>
          </w:p>
        </w:tc>
      </w:tr>
      <w:tr w:rsidR="00A15DE0" w:rsidTr="00A15DE0">
        <w:tc>
          <w:tcPr>
            <w:tcW w:w="3020" w:type="dxa"/>
          </w:tcPr>
          <w:p w:rsidR="00A15DE0" w:rsidRDefault="00A15DE0" w:rsidP="00A15DE0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noProof/>
              </w:rPr>
              <w:drawing>
                <wp:inline distT="0" distB="0" distL="0" distR="0">
                  <wp:extent cx="1602019" cy="1933575"/>
                  <wp:effectExtent l="19050" t="0" r="0" b="0"/>
                  <wp:docPr id="5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8501" t="31746" r="61837" b="1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019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2" w:type="dxa"/>
          </w:tcPr>
          <w:p w:rsidR="00A15DE0" w:rsidRDefault="00A15DE0" w:rsidP="00A15DE0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A15DE0">
              <w:rPr>
                <w:noProof/>
                <w:snapToGrid w:val="0"/>
              </w:rPr>
              <w:drawing>
                <wp:inline distT="0" distB="0" distL="0" distR="0">
                  <wp:extent cx="1015331" cy="1866900"/>
                  <wp:effectExtent l="19050" t="0" r="0" b="0"/>
                  <wp:docPr id="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41083" t="36991" r="41406" b="11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46" cy="1871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</w:tcPr>
          <w:p w:rsidR="00A15DE0" w:rsidRDefault="00A15DE0" w:rsidP="00A15DE0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noProof/>
              </w:rPr>
              <w:drawing>
                <wp:inline distT="0" distB="0" distL="0" distR="0">
                  <wp:extent cx="1670229" cy="1866900"/>
                  <wp:effectExtent l="19050" t="0" r="6171" b="0"/>
                  <wp:docPr id="9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-10000" contrast="20000"/>
                          </a:blip>
                          <a:srcRect l="51373" t="32698" r="10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859" cy="1869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45F7" w:rsidRDefault="005845F7" w:rsidP="00A15DE0">
      <w:pPr>
        <w:widowControl w:val="0"/>
        <w:spacing w:line="240" w:lineRule="atLeast"/>
        <w:rPr>
          <w:snapToGrid w:val="0"/>
        </w:rPr>
      </w:pPr>
    </w:p>
    <w:p w:rsidR="00D81B93" w:rsidRDefault="00D81B93" w:rsidP="003B664F">
      <w:pPr>
        <w:pStyle w:val="Titre3"/>
        <w:numPr>
          <w:ilvl w:val="0"/>
          <w:numId w:val="2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D81B93">
        <w:rPr>
          <w:rFonts w:ascii="Times New Roman" w:hAnsi="Times New Roman" w:cs="Times New Roman"/>
          <w:snapToGrid w:val="0"/>
          <w:u w:val="single"/>
        </w:rPr>
        <w:t>Dans le sens longitudinal</w:t>
      </w:r>
    </w:p>
    <w:p w:rsidR="005845F7" w:rsidRPr="005845F7" w:rsidRDefault="005845F7" w:rsidP="005845F7"/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Deux phénomènes superposables vont intervenir : </w:t>
      </w:r>
    </w:p>
    <w:p w:rsidR="0001518E" w:rsidRPr="0001518E" w:rsidRDefault="00734445" w:rsidP="003B664F">
      <w:pPr>
        <w:widowControl w:val="0"/>
        <w:numPr>
          <w:ilvl w:val="0"/>
          <w:numId w:val="4"/>
        </w:numPr>
        <w:tabs>
          <w:tab w:val="clear" w:pos="360"/>
          <w:tab w:val="num" w:pos="567"/>
        </w:tabs>
        <w:spacing w:line="240" w:lineRule="atLeast"/>
        <w:ind w:left="567" w:hanging="283"/>
        <w:rPr>
          <w:i/>
          <w:snapToGrid w:val="0"/>
        </w:rPr>
      </w:pPr>
      <w:r>
        <w:rPr>
          <w:b/>
          <w:snapToGrid w:val="0"/>
        </w:rPr>
        <w:t>La</w:t>
      </w:r>
      <w:r w:rsidR="00D81B93">
        <w:rPr>
          <w:b/>
          <w:snapToGrid w:val="0"/>
        </w:rPr>
        <w:t xml:space="preserve"> prolifération très rapide du neuro-ectoblaste dans la région crâniale de l'embryon</w:t>
      </w:r>
      <w:r w:rsidR="00D81B93">
        <w:rPr>
          <w:snapToGrid w:val="0"/>
        </w:rPr>
        <w:t xml:space="preserve"> entraîne une rotation de toute l'extrémité crâniale qui bascule de 180° autour d'un point fictif, le </w:t>
      </w:r>
      <w:r w:rsidR="00D81B93">
        <w:rPr>
          <w:i/>
          <w:snapToGrid w:val="0"/>
        </w:rPr>
        <w:t>septum transversum</w:t>
      </w:r>
      <w:r w:rsidR="00D81B93">
        <w:rPr>
          <w:snapToGrid w:val="0"/>
        </w:rPr>
        <w:t xml:space="preserve">, plongeant ainsi sous la face ventrale. L'ordre selon lequel se succèdent le septum transversum, le cœlome intra-embryonnaire avec l'aire cardiaque, la membrane pharyngienne et l'extrémité crâniale s'inverse et aboutit ainsi à </w:t>
      </w:r>
      <w:r w:rsidR="00D81B93">
        <w:rPr>
          <w:b/>
          <w:snapToGrid w:val="0"/>
        </w:rPr>
        <w:t>l'ordre anatomique définitif</w:t>
      </w:r>
      <w:r w:rsidR="00D81B93">
        <w:rPr>
          <w:snapToGrid w:val="0"/>
        </w:rPr>
        <w:t xml:space="preserve"> de l'étage sus-diaphragmatique :  </w:t>
      </w:r>
    </w:p>
    <w:p w:rsidR="00D81B93" w:rsidRDefault="0001518E" w:rsidP="0001518E">
      <w:pPr>
        <w:widowControl w:val="0"/>
        <w:spacing w:line="240" w:lineRule="atLeast"/>
        <w:ind w:left="567"/>
        <w:rPr>
          <w:i/>
          <w:snapToGrid w:val="0"/>
        </w:rPr>
      </w:pPr>
      <w:r>
        <w:rPr>
          <w:b/>
          <w:snapToGrid w:val="0"/>
        </w:rPr>
        <w:t xml:space="preserve">         </w:t>
      </w:r>
      <w:r w:rsidR="00D81B93">
        <w:rPr>
          <w:i/>
          <w:snapToGrid w:val="0"/>
        </w:rPr>
        <w:t>"encéphale – bouche - cœur dans la cavité péricardique - diaphragme"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32"/>
        <w:gridCol w:w="5656"/>
      </w:tblGrid>
      <w:tr w:rsidR="0001518E" w:rsidTr="0001518E">
        <w:tc>
          <w:tcPr>
            <w:tcW w:w="4606" w:type="dxa"/>
          </w:tcPr>
          <w:p w:rsidR="0001518E" w:rsidRDefault="0001518E" w:rsidP="0001518E">
            <w:pPr>
              <w:widowControl w:val="0"/>
              <w:spacing w:line="240" w:lineRule="atLeast"/>
              <w:rPr>
                <w:i/>
                <w:snapToGrid w:val="0"/>
              </w:rPr>
            </w:pPr>
            <w:r>
              <w:rPr>
                <w:i/>
                <w:noProof/>
              </w:rPr>
              <w:drawing>
                <wp:inline distT="0" distB="0" distL="0" distR="0">
                  <wp:extent cx="2165985" cy="2646045"/>
                  <wp:effectExtent l="19050" t="0" r="5715" b="0"/>
                  <wp:docPr id="12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10281" t="26508" r="52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264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01518E" w:rsidRDefault="0001518E" w:rsidP="0001518E">
            <w:pPr>
              <w:widowControl w:val="0"/>
              <w:spacing w:line="240" w:lineRule="atLeast"/>
              <w:rPr>
                <w:i/>
                <w:snapToGrid w:val="0"/>
              </w:rPr>
            </w:pPr>
            <w:r>
              <w:rPr>
                <w:i/>
                <w:noProof/>
              </w:rPr>
              <w:drawing>
                <wp:inline distT="0" distB="0" distL="0" distR="0">
                  <wp:extent cx="3469971" cy="2610768"/>
                  <wp:effectExtent l="19050" t="0" r="0" b="0"/>
                  <wp:docPr id="14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8498" r="8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108" cy="2613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518E" w:rsidRDefault="0001518E" w:rsidP="0001518E">
      <w:pPr>
        <w:widowControl w:val="0"/>
        <w:spacing w:line="240" w:lineRule="atLeast"/>
        <w:rPr>
          <w:i/>
          <w:snapToGrid w:val="0"/>
        </w:rPr>
      </w:pPr>
    </w:p>
    <w:p w:rsidR="0001518E" w:rsidRPr="0001518E" w:rsidRDefault="007668F8" w:rsidP="003B664F">
      <w:pPr>
        <w:widowControl w:val="0"/>
        <w:numPr>
          <w:ilvl w:val="0"/>
          <w:numId w:val="4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De</w:t>
      </w:r>
      <w:r w:rsidR="00D81B93">
        <w:rPr>
          <w:snapToGrid w:val="0"/>
        </w:rPr>
        <w:t xml:space="preserve"> même, </w:t>
      </w:r>
      <w:r w:rsidR="00D81B93">
        <w:rPr>
          <w:b/>
          <w:snapToGrid w:val="0"/>
        </w:rPr>
        <w:t>la poussée de la cavité amniotique détermine un repli de la région caudale</w:t>
      </w:r>
      <w:r w:rsidR="00D81B93">
        <w:rPr>
          <w:snapToGrid w:val="0"/>
        </w:rPr>
        <w:t xml:space="preserve">. L'ordre des structures est là aussi inversé : l'allantoïde et le cloaque passent en avant de l'extrémité postérieure du tube neural. La </w:t>
      </w:r>
      <w:r w:rsidR="00D81B93">
        <w:rPr>
          <w:i/>
          <w:snapToGrid w:val="0"/>
        </w:rPr>
        <w:t>zone d'implantation du pédicule embryonnaire</w:t>
      </w:r>
      <w:r w:rsidR="00D81B93">
        <w:rPr>
          <w:snapToGrid w:val="0"/>
        </w:rPr>
        <w:t xml:space="preserve"> peut être considérée comme le point fictif autour duquel s'effectue cette rotation.</w:t>
      </w:r>
    </w:p>
    <w:p w:rsidR="0001518E" w:rsidRDefault="0001518E" w:rsidP="0001518E">
      <w:pPr>
        <w:widowControl w:val="0"/>
        <w:spacing w:line="240" w:lineRule="atLeast"/>
        <w:jc w:val="center"/>
        <w:rPr>
          <w:snapToGrid w:val="0"/>
        </w:rPr>
      </w:pPr>
      <w:r w:rsidRPr="0001518E">
        <w:rPr>
          <w:noProof/>
          <w:snapToGrid w:val="0"/>
        </w:rPr>
        <w:drawing>
          <wp:inline distT="0" distB="0" distL="0" distR="0">
            <wp:extent cx="1948149" cy="2276324"/>
            <wp:effectExtent l="19050" t="0" r="0" b="0"/>
            <wp:docPr id="17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0000" contrast="20000"/>
                    </a:blip>
                    <a:srcRect l="52469" t="26508" r="10587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08" cy="227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18E" w:rsidRDefault="0001518E" w:rsidP="00D81B93">
      <w:pPr>
        <w:widowControl w:val="0"/>
        <w:spacing w:line="240" w:lineRule="atLeast"/>
        <w:rPr>
          <w:snapToGrid w:val="0"/>
        </w:rPr>
      </w:pP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Il en résulte un rapprochement des régions crâniale et caudale de l'embryon (</w:t>
      </w:r>
      <w:r>
        <w:rPr>
          <w:b/>
          <w:snapToGrid w:val="0"/>
        </w:rPr>
        <w:t>plicature céphalo-caudale</w:t>
      </w:r>
      <w:r>
        <w:rPr>
          <w:snapToGrid w:val="0"/>
        </w:rPr>
        <w:t xml:space="preserve">) : </w:t>
      </w:r>
      <w:r>
        <w:rPr>
          <w:b/>
          <w:snapToGrid w:val="0"/>
        </w:rPr>
        <w:t>l'embryon est ainsi délimité dans le sens longitudinal</w:t>
      </w:r>
      <w:r>
        <w:rPr>
          <w:snapToGrid w:val="0"/>
        </w:rPr>
        <w:t>.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</w:p>
    <w:p w:rsidR="00D81B93" w:rsidRPr="00D81B93" w:rsidRDefault="00D81B93" w:rsidP="003B664F">
      <w:pPr>
        <w:pStyle w:val="Titre3"/>
        <w:numPr>
          <w:ilvl w:val="0"/>
          <w:numId w:val="2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D81B93">
        <w:rPr>
          <w:rFonts w:ascii="Times New Roman" w:hAnsi="Times New Roman" w:cs="Times New Roman"/>
          <w:snapToGrid w:val="0"/>
          <w:u w:val="single"/>
        </w:rPr>
        <w:lastRenderedPageBreak/>
        <w:t>Formation du cordon ombilical</w:t>
      </w:r>
    </w:p>
    <w:p w:rsidR="00D81B93" w:rsidRDefault="00D81B93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>Elle est déterminée par le développement de la cavité amniotique. En effet :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F19F2" w:rsidTr="006F19F2">
        <w:tc>
          <w:tcPr>
            <w:tcW w:w="4606" w:type="dxa"/>
          </w:tcPr>
          <w:p w:rsidR="006F19F2" w:rsidRDefault="006F19F2" w:rsidP="006F19F2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b/>
                <w:snapToGrid w:val="0"/>
              </w:rPr>
              <w:t>- l'augmentation du volume de la cavité amniotique</w:t>
            </w:r>
            <w:r>
              <w:rPr>
                <w:snapToGrid w:val="0"/>
              </w:rPr>
              <w:t xml:space="preserve"> : repousse vers la sphère choriale le mésenchyme extra-embryonnaire somatopleural et tend à effacer le cœlome extra-embryonnaire. </w:t>
            </w:r>
          </w:p>
        </w:tc>
        <w:tc>
          <w:tcPr>
            <w:tcW w:w="4606" w:type="dxa"/>
          </w:tcPr>
          <w:p w:rsidR="006F19F2" w:rsidRDefault="006F19F2" w:rsidP="006F19F2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- en même temps, </w:t>
            </w:r>
            <w:r>
              <w:rPr>
                <w:b/>
                <w:snapToGrid w:val="0"/>
              </w:rPr>
              <w:t>l'expansion de la cavité amniotique</w:t>
            </w:r>
            <w:r>
              <w:rPr>
                <w:snapToGrid w:val="0"/>
              </w:rPr>
              <w:t xml:space="preserve"> plaque progressivement le pédicule embryonnaire contre la région ombilicale. </w:t>
            </w:r>
          </w:p>
          <w:p w:rsidR="006F19F2" w:rsidRDefault="006F19F2" w:rsidP="006F19F2">
            <w:pPr>
              <w:widowControl w:val="0"/>
              <w:tabs>
                <w:tab w:val="left" w:pos="284"/>
              </w:tabs>
              <w:spacing w:line="240" w:lineRule="atLeast"/>
              <w:rPr>
                <w:snapToGrid w:val="0"/>
              </w:rPr>
            </w:pPr>
          </w:p>
        </w:tc>
      </w:tr>
      <w:tr w:rsidR="006F19F2" w:rsidTr="006F19F2">
        <w:tc>
          <w:tcPr>
            <w:tcW w:w="4606" w:type="dxa"/>
          </w:tcPr>
          <w:p w:rsidR="006F19F2" w:rsidRDefault="006F19F2" w:rsidP="006F19F2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  <w:r>
              <w:rPr>
                <w:noProof/>
              </w:rPr>
              <w:drawing>
                <wp:inline distT="0" distB="0" distL="0" distR="0">
                  <wp:extent cx="2159744" cy="2624667"/>
                  <wp:effectExtent l="19050" t="0" r="0" b="0"/>
                  <wp:docPr id="18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-10000" contrast="20000"/>
                          </a:blip>
                          <a:srcRect l="11144" t="23005" r="51282" b="4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744" cy="2624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F19F2" w:rsidRDefault="006F19F2" w:rsidP="00D81B93">
            <w:pPr>
              <w:widowControl w:val="0"/>
              <w:tabs>
                <w:tab w:val="left" w:pos="284"/>
              </w:tabs>
              <w:spacing w:line="240" w:lineRule="atLeast"/>
              <w:rPr>
                <w:snapToGrid w:val="0"/>
              </w:rPr>
            </w:pPr>
            <w:r w:rsidRPr="006F19F2">
              <w:rPr>
                <w:noProof/>
                <w:snapToGrid w:val="0"/>
              </w:rPr>
              <w:drawing>
                <wp:inline distT="0" distB="0" distL="0" distR="0">
                  <wp:extent cx="2656417" cy="2515798"/>
                  <wp:effectExtent l="19050" t="0" r="0" b="0"/>
                  <wp:docPr id="20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-10000" contrast="20000"/>
                          </a:blip>
                          <a:srcRect l="52574" t="23005" r="9210" b="19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417" cy="2515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19F2" w:rsidRDefault="006F19F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D81B93" w:rsidRDefault="00D81B93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 xml:space="preserve">C'est ainsi que se constitue le </w:t>
      </w:r>
      <w:r>
        <w:rPr>
          <w:b/>
          <w:snapToGrid w:val="0"/>
        </w:rPr>
        <w:t>cordon ombilical</w:t>
      </w:r>
      <w:r>
        <w:rPr>
          <w:snapToGrid w:val="0"/>
        </w:rPr>
        <w:t>, zone étranglée, entièrement cernée par l'amnios, où passent à la fois le canal vitellin, le canal allantoïde et les éléments du pédicule embryonnaire. Ce cordon relie l'embryon à la sphère choriale.</w:t>
      </w:r>
    </w:p>
    <w:p w:rsidR="0001518E" w:rsidRDefault="006F19F2" w:rsidP="006F19F2">
      <w:pPr>
        <w:widowControl w:val="0"/>
        <w:tabs>
          <w:tab w:val="left" w:pos="284"/>
        </w:tabs>
        <w:spacing w:line="240" w:lineRule="atLeast"/>
        <w:jc w:val="center"/>
        <w:rPr>
          <w:snapToGrid w:val="0"/>
        </w:rPr>
      </w:pPr>
      <w:r>
        <w:rPr>
          <w:noProof/>
        </w:rPr>
        <w:drawing>
          <wp:inline distT="0" distB="0" distL="0" distR="0">
            <wp:extent cx="2847340" cy="3014133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0000" contrast="20000"/>
                    </a:blip>
                    <a:srcRect l="37525" t="11268" r="13065" b="5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301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9F2" w:rsidRDefault="006F19F2" w:rsidP="006F19F2">
      <w:pPr>
        <w:widowControl w:val="0"/>
        <w:tabs>
          <w:tab w:val="left" w:pos="284"/>
        </w:tabs>
        <w:spacing w:line="240" w:lineRule="atLeast"/>
        <w:jc w:val="center"/>
        <w:rPr>
          <w:snapToGrid w:val="0"/>
        </w:rPr>
      </w:pPr>
    </w:p>
    <w:p w:rsidR="00D81B93" w:rsidRPr="0001518E" w:rsidRDefault="00D81B93" w:rsidP="003B664F">
      <w:pPr>
        <w:pStyle w:val="Titre3"/>
        <w:numPr>
          <w:ilvl w:val="0"/>
          <w:numId w:val="2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01518E">
        <w:rPr>
          <w:rFonts w:ascii="Times New Roman" w:hAnsi="Times New Roman" w:cs="Times New Roman"/>
          <w:snapToGrid w:val="0"/>
          <w:u w:val="single"/>
        </w:rPr>
        <w:t>En résumé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Les trois conséquences fondamentales de la délimitation sont :</w:t>
      </w:r>
    </w:p>
    <w:p w:rsidR="00D81B93" w:rsidRDefault="007668F8" w:rsidP="003B664F">
      <w:pPr>
        <w:widowControl w:val="0"/>
        <w:numPr>
          <w:ilvl w:val="0"/>
          <w:numId w:val="17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fermeture de l'embryon</w:t>
      </w:r>
      <w:r w:rsidR="00D81B93">
        <w:rPr>
          <w:snapToGrid w:val="0"/>
        </w:rPr>
        <w:t xml:space="preserve">, cerné par </w:t>
      </w:r>
      <w:r>
        <w:rPr>
          <w:snapToGrid w:val="0"/>
        </w:rPr>
        <w:t>l’épiblaste ;</w:t>
      </w:r>
    </w:p>
    <w:p w:rsidR="00D81B93" w:rsidRDefault="007668F8" w:rsidP="003B664F">
      <w:pPr>
        <w:widowControl w:val="0"/>
        <w:numPr>
          <w:ilvl w:val="0"/>
          <w:numId w:val="17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formation de l'intestin primitif</w:t>
      </w:r>
      <w:r w:rsidR="00D81B93">
        <w:rPr>
          <w:snapToGrid w:val="0"/>
        </w:rPr>
        <w:t xml:space="preserve"> à partir du lécithocèle </w:t>
      </w:r>
      <w:r>
        <w:rPr>
          <w:snapToGrid w:val="0"/>
        </w:rPr>
        <w:t>secondaire ;</w:t>
      </w:r>
    </w:p>
    <w:p w:rsidR="00D81B93" w:rsidRDefault="007668F8" w:rsidP="003B664F">
      <w:pPr>
        <w:widowControl w:val="0"/>
        <w:numPr>
          <w:ilvl w:val="0"/>
          <w:numId w:val="17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formation du cordon ombilical</w:t>
      </w:r>
      <w:r w:rsidR="00D81B93">
        <w:rPr>
          <w:snapToGrid w:val="0"/>
        </w:rPr>
        <w:t>.</w:t>
      </w:r>
    </w:p>
    <w:p w:rsidR="006F19F2" w:rsidRDefault="006F19F2" w:rsidP="006F19F2">
      <w:pPr>
        <w:widowControl w:val="0"/>
        <w:spacing w:line="240" w:lineRule="atLeast"/>
        <w:ind w:left="567"/>
        <w:rPr>
          <w:snapToGrid w:val="0"/>
        </w:rPr>
      </w:pPr>
    </w:p>
    <w:p w:rsidR="00D81B93" w:rsidRDefault="006F19F2" w:rsidP="00D81B93">
      <w:pPr>
        <w:pStyle w:val="Titre2"/>
        <w:rPr>
          <w:snapToGrid w:val="0"/>
        </w:rPr>
      </w:pPr>
      <w:bookmarkStart w:id="4" w:name="_Toc416590404"/>
      <w:r>
        <w:rPr>
          <w:snapToGrid w:val="0"/>
        </w:rPr>
        <w:lastRenderedPageBreak/>
        <w:t>III. FORMATION DES EBAUCHES DES ORGANES</w:t>
      </w:r>
      <w:bookmarkEnd w:id="4"/>
    </w:p>
    <w:p w:rsidR="006F19F2" w:rsidRDefault="006F19F2" w:rsidP="00D81B93">
      <w:pPr>
        <w:widowControl w:val="0"/>
        <w:spacing w:line="240" w:lineRule="atLeast"/>
        <w:rPr>
          <w:snapToGrid w:val="0"/>
        </w:rPr>
      </w:pPr>
    </w:p>
    <w:p w:rsidR="00D81B93" w:rsidRDefault="00034619" w:rsidP="00D81B93">
      <w:pPr>
        <w:widowControl w:val="0"/>
        <w:spacing w:line="240" w:lineRule="atLeast"/>
        <w:rPr>
          <w:snapToGrid w:val="0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4302760</wp:posOffset>
            </wp:positionH>
            <wp:positionV relativeFrom="margin">
              <wp:posOffset>731520</wp:posOffset>
            </wp:positionV>
            <wp:extent cx="1421130" cy="1632585"/>
            <wp:effectExtent l="19050" t="0" r="7620" b="0"/>
            <wp:wrapSquare wrapText="bothSides"/>
            <wp:docPr id="21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899" t="30499" r="53391" b="4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63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1B93">
        <w:rPr>
          <w:snapToGrid w:val="0"/>
        </w:rPr>
        <w:t>En même temps que se produit la délimitation de l'embryon, on assiste au début de l'organogenèse : chacun des trois feuillets évolue et donne ses principaux dérivés.</w:t>
      </w:r>
    </w:p>
    <w:p w:rsidR="006F19F2" w:rsidRDefault="006F19F2" w:rsidP="00D81B93">
      <w:pPr>
        <w:widowControl w:val="0"/>
        <w:spacing w:line="240" w:lineRule="atLeast"/>
        <w:rPr>
          <w:snapToGrid w:val="0"/>
        </w:rPr>
      </w:pPr>
    </w:p>
    <w:p w:rsidR="00D81B93" w:rsidRPr="006F19F2" w:rsidRDefault="00D81B93" w:rsidP="003B664F">
      <w:pPr>
        <w:pStyle w:val="Titre3"/>
        <w:numPr>
          <w:ilvl w:val="0"/>
          <w:numId w:val="30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6F19F2">
        <w:rPr>
          <w:rFonts w:ascii="Times New Roman" w:hAnsi="Times New Roman" w:cs="Times New Roman"/>
          <w:snapToGrid w:val="0"/>
          <w:u w:val="single"/>
        </w:rPr>
        <w:t xml:space="preserve">Neuro-ectoblaste et Epiblaste </w:t>
      </w:r>
    </w:p>
    <w:p w:rsidR="00D81B93" w:rsidRPr="00034619" w:rsidRDefault="00D81B93" w:rsidP="006F19F2">
      <w:pPr>
        <w:pStyle w:val="Titre4"/>
        <w:ind w:left="1416"/>
        <w:rPr>
          <w:snapToGrid w:val="0"/>
          <w:color w:val="000000" w:themeColor="text1"/>
          <w:u w:val="single"/>
        </w:rPr>
      </w:pPr>
      <w:r w:rsidRPr="00034619">
        <w:rPr>
          <w:snapToGrid w:val="0"/>
          <w:color w:val="000000" w:themeColor="text1"/>
          <w:u w:val="single"/>
        </w:rPr>
        <w:t>1) Le tube neural</w:t>
      </w:r>
    </w:p>
    <w:p w:rsidR="006F19F2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Au cours de la quatrième semaine s'achève la </w:t>
      </w:r>
      <w:r>
        <w:rPr>
          <w:b/>
          <w:snapToGrid w:val="0"/>
        </w:rPr>
        <w:t>neurulation</w:t>
      </w:r>
      <w:r>
        <w:rPr>
          <w:snapToGrid w:val="0"/>
        </w:rPr>
        <w:t xml:space="preserve">. La gouttière se soude et se transforme en un </w:t>
      </w:r>
      <w:r>
        <w:rPr>
          <w:b/>
          <w:snapToGrid w:val="0"/>
        </w:rPr>
        <w:t>tube neural</w:t>
      </w:r>
      <w:r>
        <w:rPr>
          <w:snapToGrid w:val="0"/>
        </w:rPr>
        <w:t>. Ce phénomène commence au niveau de la partie moyenne de l'embryon et s'étend progressivement vers les régions céphalique et caudale.</w:t>
      </w:r>
    </w:p>
    <w:p w:rsidR="00034619" w:rsidRDefault="00034619" w:rsidP="00D81B93">
      <w:pPr>
        <w:widowControl w:val="0"/>
        <w:spacing w:line="240" w:lineRule="atLeast"/>
        <w:rPr>
          <w:snapToGrid w:val="0"/>
        </w:rPr>
      </w:pPr>
    </w:p>
    <w:p w:rsidR="00D81B93" w:rsidRDefault="00D81B93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 xml:space="preserve">A ce stade, le tube neural est ouvert à ses deux extrémités dans la cavité amniotique. Ces deux ouvertures s'appellent les </w:t>
      </w:r>
      <w:r>
        <w:rPr>
          <w:b/>
          <w:snapToGrid w:val="0"/>
        </w:rPr>
        <w:t xml:space="preserve">neuropores </w:t>
      </w:r>
      <w:r>
        <w:rPr>
          <w:snapToGrid w:val="0"/>
        </w:rPr>
        <w:t>:</w:t>
      </w:r>
    </w:p>
    <w:p w:rsidR="00D81B93" w:rsidRDefault="007668F8" w:rsidP="003B664F">
      <w:pPr>
        <w:widowControl w:val="0"/>
        <w:numPr>
          <w:ilvl w:val="0"/>
          <w:numId w:val="5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neuropore antérieur</w:t>
      </w:r>
      <w:r w:rsidR="00D81B93">
        <w:rPr>
          <w:snapToGrid w:val="0"/>
        </w:rPr>
        <w:t xml:space="preserve"> se ferme à J25-J</w:t>
      </w:r>
      <w:r>
        <w:rPr>
          <w:snapToGrid w:val="0"/>
        </w:rPr>
        <w:t>26 ;</w:t>
      </w:r>
    </w:p>
    <w:p w:rsidR="00D81B93" w:rsidRDefault="007668F8" w:rsidP="003B664F">
      <w:pPr>
        <w:widowControl w:val="0"/>
        <w:numPr>
          <w:ilvl w:val="0"/>
          <w:numId w:val="5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neuropore postérieur</w:t>
      </w:r>
      <w:r w:rsidR="00D81B93">
        <w:rPr>
          <w:snapToGrid w:val="0"/>
        </w:rPr>
        <w:t xml:space="preserve"> se ferme à J28.</w:t>
      </w:r>
    </w:p>
    <w:p w:rsidR="00034619" w:rsidRDefault="00034619" w:rsidP="00034619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Le système nerveux prend alors la forme d'un tube creux (future moelle épinière) avec une extrémité crâniale plus large (futur cerveau). Cette dernière présente, à la fin de la quatrième semaine, trois zones dilatées :</w:t>
      </w:r>
    </w:p>
    <w:p w:rsidR="00034619" w:rsidRDefault="007668F8" w:rsidP="003B664F">
      <w:pPr>
        <w:widowControl w:val="0"/>
        <w:numPr>
          <w:ilvl w:val="0"/>
          <w:numId w:val="6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034619">
        <w:rPr>
          <w:snapToGrid w:val="0"/>
        </w:rPr>
        <w:t xml:space="preserve"> </w:t>
      </w:r>
      <w:r>
        <w:rPr>
          <w:b/>
          <w:snapToGrid w:val="0"/>
        </w:rPr>
        <w:t>prosencéphale</w:t>
      </w:r>
      <w:r>
        <w:rPr>
          <w:snapToGrid w:val="0"/>
        </w:rPr>
        <w:t xml:space="preserve"> ;</w:t>
      </w:r>
    </w:p>
    <w:p w:rsidR="00034619" w:rsidRDefault="007668F8" w:rsidP="003B664F">
      <w:pPr>
        <w:widowControl w:val="0"/>
        <w:numPr>
          <w:ilvl w:val="0"/>
          <w:numId w:val="6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034619">
        <w:rPr>
          <w:snapToGrid w:val="0"/>
        </w:rPr>
        <w:t xml:space="preserve"> </w:t>
      </w:r>
      <w:r>
        <w:rPr>
          <w:b/>
          <w:snapToGrid w:val="0"/>
        </w:rPr>
        <w:t>mésencéphale</w:t>
      </w:r>
      <w:r>
        <w:rPr>
          <w:snapToGrid w:val="0"/>
        </w:rPr>
        <w:t xml:space="preserve"> ;</w:t>
      </w:r>
    </w:p>
    <w:p w:rsidR="00034619" w:rsidRPr="00034619" w:rsidRDefault="007668F8" w:rsidP="003B664F">
      <w:pPr>
        <w:widowControl w:val="0"/>
        <w:numPr>
          <w:ilvl w:val="0"/>
          <w:numId w:val="6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034619">
        <w:rPr>
          <w:snapToGrid w:val="0"/>
        </w:rPr>
        <w:t xml:space="preserve"> </w:t>
      </w:r>
      <w:r w:rsidR="00034619">
        <w:rPr>
          <w:b/>
          <w:snapToGrid w:val="0"/>
        </w:rPr>
        <w:t>rhombencéphale</w:t>
      </w:r>
      <w:r w:rsidR="00034619">
        <w:rPr>
          <w:snapToGrid w:val="0"/>
        </w:rPr>
        <w:t>.</w:t>
      </w:r>
    </w:p>
    <w:tbl>
      <w:tblPr>
        <w:tblStyle w:val="Grilledutableau"/>
        <w:tblW w:w="0" w:type="auto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4"/>
        <w:gridCol w:w="3582"/>
      </w:tblGrid>
      <w:tr w:rsidR="00034619" w:rsidTr="00034619">
        <w:tc>
          <w:tcPr>
            <w:tcW w:w="3364" w:type="dxa"/>
          </w:tcPr>
          <w:p w:rsidR="00034619" w:rsidRDefault="00034619" w:rsidP="00034619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snapToGrid w:val="0"/>
              </w:rPr>
              <w:t>future moelle épinière</w:t>
            </w:r>
          </w:p>
        </w:tc>
        <w:tc>
          <w:tcPr>
            <w:tcW w:w="3582" w:type="dxa"/>
          </w:tcPr>
          <w:p w:rsidR="00034619" w:rsidRDefault="00034619" w:rsidP="00034619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snapToGrid w:val="0"/>
              </w:rPr>
              <w:t>futur cerveau</w:t>
            </w:r>
          </w:p>
        </w:tc>
      </w:tr>
      <w:tr w:rsidR="00034619" w:rsidTr="00034619">
        <w:tc>
          <w:tcPr>
            <w:tcW w:w="3364" w:type="dxa"/>
          </w:tcPr>
          <w:p w:rsidR="00034619" w:rsidRDefault="00034619" w:rsidP="00034619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034619">
              <w:rPr>
                <w:noProof/>
                <w:snapToGrid w:val="0"/>
              </w:rPr>
              <w:drawing>
                <wp:inline distT="0" distB="0" distL="0" distR="0">
                  <wp:extent cx="1358265" cy="1957505"/>
                  <wp:effectExtent l="19050" t="0" r="0" b="0"/>
                  <wp:docPr id="30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-10000" contrast="20000"/>
                          </a:blip>
                          <a:srcRect l="57789" t="23492" r="10457"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461" cy="1956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2" w:type="dxa"/>
          </w:tcPr>
          <w:p w:rsidR="00034619" w:rsidRDefault="00034619" w:rsidP="00034619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noProof/>
              </w:rPr>
              <w:drawing>
                <wp:inline distT="0" distB="0" distL="0" distR="0">
                  <wp:extent cx="2044065" cy="1960431"/>
                  <wp:effectExtent l="19050" t="0" r="0" b="0"/>
                  <wp:docPr id="32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8601" t="23492" r="43681"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065" cy="1960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1B93" w:rsidRPr="00034619" w:rsidRDefault="00863657" w:rsidP="00034619">
      <w:pPr>
        <w:pStyle w:val="Titre4"/>
        <w:ind w:left="1416"/>
        <w:rPr>
          <w:snapToGrid w:val="0"/>
          <w:color w:val="000000" w:themeColor="text1"/>
          <w:u w:val="single"/>
        </w:rPr>
      </w:pPr>
      <w:r>
        <w:rPr>
          <w:noProof/>
          <w:color w:val="000000" w:themeColor="text1"/>
          <w:u w:val="single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4302760</wp:posOffset>
            </wp:positionH>
            <wp:positionV relativeFrom="margin">
              <wp:posOffset>6522720</wp:posOffset>
            </wp:positionV>
            <wp:extent cx="1381125" cy="1042035"/>
            <wp:effectExtent l="19050" t="19050" r="28575" b="24765"/>
            <wp:wrapSquare wrapText="bothSides"/>
            <wp:docPr id="56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5435" t="30142" r="14375" b="33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42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1B93" w:rsidRPr="00034619">
        <w:rPr>
          <w:snapToGrid w:val="0"/>
          <w:color w:val="000000" w:themeColor="text1"/>
          <w:u w:val="single"/>
        </w:rPr>
        <w:t>2) Crêtes neurales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Les cellules des crêtes neurales se détachent, au moment de la fermeture du tube neural, de la zone de jonction entre :</w:t>
      </w:r>
    </w:p>
    <w:p w:rsidR="00D81B93" w:rsidRDefault="007668F8" w:rsidP="003B664F">
      <w:pPr>
        <w:widowControl w:val="0"/>
        <w:numPr>
          <w:ilvl w:val="0"/>
          <w:numId w:val="18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Les</w:t>
      </w:r>
      <w:r w:rsidR="00D81B93">
        <w:rPr>
          <w:snapToGrid w:val="0"/>
        </w:rPr>
        <w:t xml:space="preserve"> bords de la gouttière neurale (neuro-ectoblaste) et </w:t>
      </w:r>
    </w:p>
    <w:p w:rsidR="00D81B93" w:rsidRDefault="007668F8" w:rsidP="003B664F">
      <w:pPr>
        <w:widowControl w:val="0"/>
        <w:numPr>
          <w:ilvl w:val="0"/>
          <w:numId w:val="18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reste de l'ectoblaste (épiblaste). </w:t>
      </w:r>
    </w:p>
    <w:p w:rsidR="000F78B3" w:rsidRDefault="00863657" w:rsidP="00863657">
      <w:pPr>
        <w:widowControl w:val="0"/>
        <w:spacing w:line="240" w:lineRule="atLeast"/>
        <w:rPr>
          <w:snapToGrid w:val="0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3799840</wp:posOffset>
            </wp:positionH>
            <wp:positionV relativeFrom="margin">
              <wp:posOffset>7597140</wp:posOffset>
            </wp:positionV>
            <wp:extent cx="2181225" cy="1379220"/>
            <wp:effectExtent l="19050" t="0" r="9525" b="0"/>
            <wp:wrapSquare wrapText="bothSides"/>
            <wp:docPr id="57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20000"/>
                    </a:blip>
                    <a:srcRect l="23487" t="29063" r="24184" b="17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3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3657" w:rsidRDefault="00863657" w:rsidP="00863657">
      <w:pPr>
        <w:widowControl w:val="0"/>
        <w:spacing w:line="240" w:lineRule="atLeast"/>
        <w:rPr>
          <w:snapToGrid w:val="0"/>
        </w:rPr>
      </w:pPr>
    </w:p>
    <w:p w:rsidR="00034619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En même temps que se produit la segmentation du mésoblaste para-axial, les crêtes neurales se fragmentent en de petits amas disposés sur le même plan transversal que les somites, les </w:t>
      </w:r>
      <w:r>
        <w:rPr>
          <w:b/>
          <w:snapToGrid w:val="0"/>
        </w:rPr>
        <w:t>futurs ganglions rachidiens</w:t>
      </w:r>
      <w:r>
        <w:rPr>
          <w:snapToGrid w:val="0"/>
        </w:rPr>
        <w:t>.</w:t>
      </w:r>
    </w:p>
    <w:p w:rsidR="00D81B93" w:rsidRDefault="00D81B93" w:rsidP="000F78B3">
      <w:pPr>
        <w:widowControl w:val="0"/>
        <w:spacing w:line="240" w:lineRule="atLeast"/>
        <w:jc w:val="center"/>
        <w:rPr>
          <w:snapToGrid w:val="0"/>
        </w:rPr>
      </w:pPr>
    </w:p>
    <w:p w:rsidR="00D81B93" w:rsidRDefault="00863657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4232910</wp:posOffset>
            </wp:positionH>
            <wp:positionV relativeFrom="margin">
              <wp:posOffset>647700</wp:posOffset>
            </wp:positionV>
            <wp:extent cx="1595120" cy="1591310"/>
            <wp:effectExtent l="19050" t="0" r="5080" b="0"/>
            <wp:wrapSquare wrapText="bothSides"/>
            <wp:docPr id="39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5716" t="22240" r="9924" b="7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159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1B93">
        <w:rPr>
          <w:snapToGrid w:val="0"/>
        </w:rPr>
        <w:t xml:space="preserve">Soulignons enfin que certaines </w:t>
      </w:r>
      <w:r w:rsidR="00D81B93">
        <w:rPr>
          <w:b/>
          <w:snapToGrid w:val="0"/>
        </w:rPr>
        <w:t>cellules cristo-neurales</w:t>
      </w:r>
      <w:r w:rsidR="00D81B93">
        <w:rPr>
          <w:snapToGrid w:val="0"/>
        </w:rPr>
        <w:t xml:space="preserve"> migrent à distance, dans différentes régions de l'organisme pour s'y différencier (cellules médullaires de la surrénale, mélanoblastes, cellules à calcitonine…).</w:t>
      </w:r>
    </w:p>
    <w:p w:rsidR="00D81B93" w:rsidRPr="00034619" w:rsidRDefault="00D81B93" w:rsidP="00034619">
      <w:pPr>
        <w:pStyle w:val="Titre4"/>
        <w:ind w:left="1416"/>
        <w:rPr>
          <w:snapToGrid w:val="0"/>
          <w:color w:val="000000" w:themeColor="text1"/>
          <w:u w:val="single"/>
        </w:rPr>
      </w:pPr>
      <w:r w:rsidRPr="00034619">
        <w:rPr>
          <w:snapToGrid w:val="0"/>
          <w:color w:val="000000" w:themeColor="text1"/>
          <w:u w:val="single"/>
        </w:rPr>
        <w:t xml:space="preserve">3) Epiblaste 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Il se modifie peu au cours de la quatrième semaine. Néanmoins, il y apparaît (au niveau de l'extrémité céphalique de l'embryon), des zones de différenciation correspondant aux</w:t>
      </w:r>
      <w:r w:rsidR="000F78B3">
        <w:rPr>
          <w:snapToGrid w:val="0"/>
        </w:rPr>
        <w:t xml:space="preserve"> ébauches </w:t>
      </w:r>
      <w:r w:rsidR="00734445">
        <w:rPr>
          <w:snapToGrid w:val="0"/>
        </w:rPr>
        <w:t>des organes</w:t>
      </w:r>
      <w:r>
        <w:rPr>
          <w:snapToGrid w:val="0"/>
        </w:rPr>
        <w:t xml:space="preserve"> sensoriels : </w:t>
      </w:r>
    </w:p>
    <w:p w:rsidR="00D81B93" w:rsidRDefault="00734445" w:rsidP="003B664F">
      <w:pPr>
        <w:widowControl w:val="0"/>
        <w:numPr>
          <w:ilvl w:val="0"/>
          <w:numId w:val="1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Les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 xml:space="preserve">placodes </w:t>
      </w:r>
      <w:r>
        <w:rPr>
          <w:b/>
          <w:snapToGrid w:val="0"/>
        </w:rPr>
        <w:t>otiques</w:t>
      </w:r>
      <w:r>
        <w:rPr>
          <w:snapToGrid w:val="0"/>
        </w:rPr>
        <w:t xml:space="preserve"> (</w:t>
      </w:r>
      <w:r w:rsidR="00D81B93">
        <w:rPr>
          <w:snapToGrid w:val="0"/>
        </w:rPr>
        <w:t>à l'origine du labyrinthe m</w:t>
      </w:r>
      <w:r>
        <w:rPr>
          <w:snapToGrid w:val="0"/>
        </w:rPr>
        <w:t>embraneux de l'oreille interne)</w:t>
      </w:r>
    </w:p>
    <w:p w:rsidR="00D81B93" w:rsidRDefault="00734445" w:rsidP="003B664F">
      <w:pPr>
        <w:widowControl w:val="0"/>
        <w:numPr>
          <w:ilvl w:val="0"/>
          <w:numId w:val="1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Les</w:t>
      </w:r>
      <w:r w:rsidR="00D81B93">
        <w:rPr>
          <w:snapToGrid w:val="0"/>
        </w:rPr>
        <w:t xml:space="preserve"> </w:t>
      </w:r>
      <w:r w:rsidR="00D81B93">
        <w:rPr>
          <w:b/>
          <w:snapToGrid w:val="0"/>
        </w:rPr>
        <w:t>placodes optiques</w:t>
      </w:r>
      <w:r w:rsidR="00D81B93">
        <w:rPr>
          <w:snapToGrid w:val="0"/>
        </w:rPr>
        <w:t xml:space="preserve"> (ou cristalliniennes).</w:t>
      </w:r>
    </w:p>
    <w:p w:rsidR="000F78B3" w:rsidRDefault="00863657" w:rsidP="000F78B3">
      <w:pPr>
        <w:widowControl w:val="0"/>
        <w:spacing w:line="240" w:lineRule="atLeast"/>
        <w:rPr>
          <w:snapToGrid w:val="0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4012565</wp:posOffset>
            </wp:positionH>
            <wp:positionV relativeFrom="margin">
              <wp:posOffset>2358390</wp:posOffset>
            </wp:positionV>
            <wp:extent cx="1962150" cy="1981200"/>
            <wp:effectExtent l="19050" t="0" r="0" b="0"/>
            <wp:wrapSquare wrapText="bothSides"/>
            <wp:docPr id="51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20000"/>
                    </a:blip>
                    <a:srcRect l="9197" t="22046" r="46429" b="6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B93" w:rsidRPr="00034619" w:rsidRDefault="00D81B93" w:rsidP="003B664F">
      <w:pPr>
        <w:pStyle w:val="Titre3"/>
        <w:numPr>
          <w:ilvl w:val="0"/>
          <w:numId w:val="30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034619">
        <w:rPr>
          <w:rFonts w:ascii="Times New Roman" w:hAnsi="Times New Roman" w:cs="Times New Roman"/>
          <w:snapToGrid w:val="0"/>
          <w:u w:val="single"/>
        </w:rPr>
        <w:t>Chordo-mésoblaste</w:t>
      </w:r>
    </w:p>
    <w:p w:rsidR="00D81B93" w:rsidRPr="00034619" w:rsidRDefault="00D81B93" w:rsidP="00034619">
      <w:pPr>
        <w:pStyle w:val="Titre4"/>
        <w:ind w:left="1416"/>
        <w:rPr>
          <w:snapToGrid w:val="0"/>
          <w:color w:val="000000" w:themeColor="text1"/>
          <w:u w:val="single"/>
        </w:rPr>
      </w:pPr>
      <w:r w:rsidRPr="00034619">
        <w:rPr>
          <w:snapToGrid w:val="0"/>
          <w:color w:val="000000" w:themeColor="text1"/>
          <w:u w:val="single"/>
        </w:rPr>
        <w:t>1) La chorde</w:t>
      </w:r>
    </w:p>
    <w:p w:rsidR="00D81B93" w:rsidRDefault="00D81B93" w:rsidP="00D81B93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Elle constitue l'ébauche du squelette axial de l'embryon. Faite de cellules vacuolaires entourées d'une mince gaine :</w:t>
      </w:r>
    </w:p>
    <w:p w:rsidR="00D81B93" w:rsidRDefault="00D81B93" w:rsidP="003B664F">
      <w:pPr>
        <w:widowControl w:val="0"/>
        <w:numPr>
          <w:ilvl w:val="0"/>
          <w:numId w:val="7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elle pénètre, en arrière, dans l'extrémité caudale de l'embryon; </w:t>
      </w:r>
    </w:p>
    <w:p w:rsidR="00863657" w:rsidRDefault="00D81B93" w:rsidP="003B664F">
      <w:pPr>
        <w:widowControl w:val="0"/>
        <w:numPr>
          <w:ilvl w:val="0"/>
          <w:numId w:val="7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elle reste, en avant, à distance de la membrane pharyngienne. </w:t>
      </w:r>
    </w:p>
    <w:p w:rsidR="00863657" w:rsidRPr="00863657" w:rsidRDefault="00863657" w:rsidP="00863657">
      <w:pPr>
        <w:widowControl w:val="0"/>
        <w:spacing w:line="240" w:lineRule="atLeast"/>
        <w:rPr>
          <w:snapToGrid w:val="0"/>
          <w:sz w:val="8"/>
          <w:szCs w:val="8"/>
        </w:rPr>
      </w:pPr>
    </w:p>
    <w:p w:rsidR="000F78B3" w:rsidRPr="00863657" w:rsidRDefault="00D81B93" w:rsidP="000F78B3">
      <w:pPr>
        <w:widowControl w:val="0"/>
        <w:spacing w:line="240" w:lineRule="atLeast"/>
        <w:rPr>
          <w:b/>
          <w:snapToGrid w:val="0"/>
        </w:rPr>
      </w:pPr>
      <w:r>
        <w:rPr>
          <w:snapToGrid w:val="0"/>
        </w:rPr>
        <w:t xml:space="preserve">La chorde disparaît ensuite presque totalement et ne persiste qu'au niveau des disques intervertébraux, sous forme d'un reliquat, le </w:t>
      </w:r>
      <w:r>
        <w:rPr>
          <w:b/>
          <w:snapToGrid w:val="0"/>
        </w:rPr>
        <w:t xml:space="preserve">nucléus pulposus </w:t>
      </w:r>
      <w:r>
        <w:rPr>
          <w:snapToGrid w:val="0"/>
        </w:rPr>
        <w:t>(région centrale du disque intervertébral).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4836"/>
      </w:tblGrid>
      <w:tr w:rsidR="000F78B3" w:rsidTr="00863657">
        <w:trPr>
          <w:jc w:val="center"/>
        </w:trPr>
        <w:tc>
          <w:tcPr>
            <w:tcW w:w="3085" w:type="dxa"/>
          </w:tcPr>
          <w:p w:rsidR="000F78B3" w:rsidRDefault="000F78B3" w:rsidP="000F78B3">
            <w:pPr>
              <w:widowControl w:val="0"/>
              <w:spacing w:line="240" w:lineRule="atLeast"/>
              <w:rPr>
                <w:snapToGrid w:val="0"/>
              </w:rPr>
            </w:pPr>
            <w:r w:rsidRPr="000F78B3">
              <w:rPr>
                <w:noProof/>
                <w:snapToGrid w:val="0"/>
              </w:rPr>
              <w:drawing>
                <wp:inline distT="0" distB="0" distL="0" distR="0">
                  <wp:extent cx="1651635" cy="1253066"/>
                  <wp:effectExtent l="19050" t="0" r="5715" b="0"/>
                  <wp:docPr id="52" name="Image 3" descr="F0ED8417-67B3-43FF-971B-00EC424647F1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F0ED8417-67B3-43FF-971B-00EC424647F1-L0-001.png" descr="F0ED8417-67B3-43FF-971B-00EC424647F1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/>
                          </a:blip>
                          <a:srcRect l="2064" r="71578" b="699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127" cy="12564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:rsidR="000F78B3" w:rsidRDefault="000F78B3" w:rsidP="000F78B3">
            <w:pPr>
              <w:widowControl w:val="0"/>
              <w:spacing w:line="240" w:lineRule="atLeast"/>
              <w:rPr>
                <w:snapToGrid w:val="0"/>
              </w:rPr>
            </w:pPr>
            <w:r w:rsidRPr="000F78B3">
              <w:rPr>
                <w:noProof/>
                <w:snapToGrid w:val="0"/>
              </w:rPr>
              <w:drawing>
                <wp:inline distT="0" distB="0" distL="0" distR="0">
                  <wp:extent cx="2910416" cy="1253066"/>
                  <wp:effectExtent l="19050" t="0" r="4234" b="0"/>
                  <wp:docPr id="54" name="Image 6" descr="F0ED8417-67B3-43FF-971B-00EC424647F1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F0ED8417-67B3-43FF-971B-00EC424647F1-L0-001.png" descr="F0ED8417-67B3-43FF-971B-00EC424647F1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/>
                          </a:blip>
                          <a:srcRect l="28906" b="60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30" cy="12532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1B93" w:rsidRPr="00034619" w:rsidRDefault="00D81B93" w:rsidP="00034619">
      <w:pPr>
        <w:pStyle w:val="Titre4"/>
        <w:ind w:left="1416"/>
        <w:rPr>
          <w:snapToGrid w:val="0"/>
          <w:color w:val="000000" w:themeColor="text1"/>
          <w:u w:val="single"/>
        </w:rPr>
      </w:pPr>
      <w:r w:rsidRPr="00034619">
        <w:rPr>
          <w:snapToGrid w:val="0"/>
          <w:color w:val="000000" w:themeColor="text1"/>
          <w:u w:val="single"/>
        </w:rPr>
        <w:t xml:space="preserve">2) Le mésoblaste </w:t>
      </w:r>
    </w:p>
    <w:p w:rsidR="00863657" w:rsidRDefault="00D81B93" w:rsidP="00863657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>Il est constitué depuis la troisième semaine de trois zones cordonales orientées longitudinalement de chaque côté de l'axe chordal :</w:t>
      </w:r>
    </w:p>
    <w:p w:rsidR="00863657" w:rsidRDefault="00863657" w:rsidP="00863657">
      <w:pPr>
        <w:widowControl w:val="0"/>
        <w:spacing w:line="240" w:lineRule="atLeast"/>
        <w:rPr>
          <w:snapToGrid w:val="0"/>
        </w:rPr>
      </w:pPr>
      <w:r>
        <w:rPr>
          <w:snapToGrid w:val="0"/>
        </w:rPr>
        <w:t xml:space="preserve">                                 </w:t>
      </w:r>
      <w:r>
        <w:rPr>
          <w:noProof/>
        </w:rPr>
        <w:drawing>
          <wp:inline distT="0" distB="0" distL="0" distR="0">
            <wp:extent cx="2673350" cy="2071571"/>
            <wp:effectExtent l="19050" t="0" r="0" b="0"/>
            <wp:docPr id="61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10000" contrast="20000"/>
                    </a:blip>
                    <a:srcRect l="9374" r="9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68" cy="20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B93" w:rsidRPr="00F1135D" w:rsidRDefault="00D81B93" w:rsidP="00F1135D">
      <w:pPr>
        <w:pStyle w:val="Titre5"/>
        <w:keepLines w:val="0"/>
        <w:tabs>
          <w:tab w:val="num" w:pos="1524"/>
        </w:tabs>
        <w:spacing w:before="120"/>
        <w:ind w:left="708"/>
        <w:rPr>
          <w:rFonts w:ascii="Times New Roman" w:hAnsi="Times New Roman" w:cs="Times New Roman"/>
          <w:b/>
          <w:i/>
          <w:snapToGrid w:val="0"/>
          <w:u w:val="single"/>
        </w:rPr>
      </w:pPr>
      <w:r w:rsidRPr="00F1135D">
        <w:rPr>
          <w:rFonts w:ascii="Times New Roman" w:hAnsi="Times New Roman" w:cs="Times New Roman"/>
          <w:b/>
          <w:i/>
          <w:snapToGrid w:val="0"/>
          <w:u w:val="single"/>
        </w:rPr>
        <w:lastRenderedPageBreak/>
        <w:t xml:space="preserve">le mésoblaste para-axial </w:t>
      </w:r>
    </w:p>
    <w:p w:rsidR="00F1135D" w:rsidRDefault="00D81B93" w:rsidP="00F1135D">
      <w:pPr>
        <w:ind w:firstLine="708"/>
      </w:pPr>
      <w:r>
        <w:t>Il continue sa</w:t>
      </w:r>
      <w:r>
        <w:rPr>
          <w:b/>
        </w:rPr>
        <w:t xml:space="preserve"> segmentation en somites</w:t>
      </w:r>
      <w:r>
        <w:t xml:space="preserve">, disposés par paires de part et d'autre du tube neural et de la chorde. Cette segmentation, appelée </w:t>
      </w:r>
      <w:r>
        <w:rPr>
          <w:b/>
        </w:rPr>
        <w:t>métamérisation</w:t>
      </w:r>
      <w:r>
        <w:t xml:space="preserve">, contribue à diviser l'embryon en </w:t>
      </w:r>
      <w:r>
        <w:rPr>
          <w:b/>
        </w:rPr>
        <w:t>étages superposés</w:t>
      </w:r>
      <w:r>
        <w:t xml:space="preserve">, bien visibles au niveau du tronc. </w:t>
      </w:r>
    </w:p>
    <w:p w:rsidR="00F1135D" w:rsidRDefault="00F1135D" w:rsidP="00F1135D">
      <w:pPr>
        <w:jc w:val="center"/>
      </w:pPr>
      <w:r>
        <w:rPr>
          <w:noProof/>
        </w:rPr>
        <w:drawing>
          <wp:inline distT="0" distB="0" distL="0" distR="0">
            <wp:extent cx="4421505" cy="1434465"/>
            <wp:effectExtent l="19050" t="0" r="0" b="0"/>
            <wp:docPr id="63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10000" contrast="20000"/>
                    </a:blip>
                    <a:srcRect l="9593" t="7619" r="13596" b="52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05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67"/>
        <w:gridCol w:w="2745"/>
      </w:tblGrid>
      <w:tr w:rsidR="00F1135D" w:rsidTr="00137E1D">
        <w:tc>
          <w:tcPr>
            <w:tcW w:w="6467" w:type="dxa"/>
          </w:tcPr>
          <w:p w:rsidR="00F1135D" w:rsidRDefault="00F1135D" w:rsidP="00F1135D">
            <w:r>
              <w:t xml:space="preserve">Chaque étage ou </w:t>
            </w:r>
            <w:r>
              <w:rPr>
                <w:b/>
              </w:rPr>
              <w:t>métamère</w:t>
            </w:r>
            <w:r>
              <w:t xml:space="preserve"> est constitué :</w:t>
            </w:r>
          </w:p>
          <w:p w:rsidR="00F1135D" w:rsidRPr="00F1135D" w:rsidRDefault="00F1135D" w:rsidP="003B664F">
            <w:pPr>
              <w:pStyle w:val="Titre5"/>
              <w:keepLines w:val="0"/>
              <w:numPr>
                <w:ilvl w:val="0"/>
                <w:numId w:val="8"/>
              </w:numPr>
              <w:tabs>
                <w:tab w:val="clear" w:pos="360"/>
                <w:tab w:val="num" w:pos="567"/>
              </w:tabs>
              <w:spacing w:before="0"/>
              <w:ind w:left="567" w:hanging="283"/>
              <w:outlineLvl w:val="4"/>
              <w:rPr>
                <w:rFonts w:ascii="Times New Roman" w:hAnsi="Times New Roman"/>
                <w:color w:val="000000" w:themeColor="text1"/>
              </w:rPr>
            </w:pPr>
            <w:r w:rsidRPr="00F1135D">
              <w:rPr>
                <w:rFonts w:ascii="Times New Roman" w:hAnsi="Times New Roman"/>
                <w:color w:val="000000" w:themeColor="text1"/>
              </w:rPr>
              <w:t>de la paire de somites et ses dérivés;</w:t>
            </w:r>
            <w:r w:rsidRPr="00F1135D">
              <w:rPr>
                <w:noProof/>
                <w:color w:val="000000" w:themeColor="text1"/>
              </w:rPr>
              <w:t xml:space="preserve"> </w:t>
            </w:r>
          </w:p>
          <w:p w:rsidR="00F1135D" w:rsidRPr="00F1135D" w:rsidRDefault="00F1135D" w:rsidP="003B664F">
            <w:pPr>
              <w:pStyle w:val="Titre5"/>
              <w:keepLines w:val="0"/>
              <w:numPr>
                <w:ilvl w:val="0"/>
                <w:numId w:val="8"/>
              </w:numPr>
              <w:tabs>
                <w:tab w:val="clear" w:pos="360"/>
                <w:tab w:val="num" w:pos="567"/>
              </w:tabs>
              <w:spacing w:before="0"/>
              <w:ind w:left="567" w:hanging="283"/>
              <w:outlineLvl w:val="4"/>
              <w:rPr>
                <w:rFonts w:ascii="Times New Roman" w:hAnsi="Times New Roman"/>
                <w:color w:val="000000" w:themeColor="text1"/>
              </w:rPr>
            </w:pPr>
            <w:r w:rsidRPr="00F1135D">
              <w:rPr>
                <w:rFonts w:ascii="Times New Roman" w:hAnsi="Times New Roman"/>
                <w:color w:val="000000" w:themeColor="text1"/>
              </w:rPr>
              <w:t>des structures voisines situées dans le même plan transversal.</w:t>
            </w:r>
          </w:p>
          <w:p w:rsidR="00F1135D" w:rsidRDefault="00F1135D" w:rsidP="00D81B93"/>
        </w:tc>
        <w:tc>
          <w:tcPr>
            <w:tcW w:w="2745" w:type="dxa"/>
          </w:tcPr>
          <w:p w:rsidR="00F1135D" w:rsidRDefault="00F1135D" w:rsidP="00D81B93">
            <w:r w:rsidRPr="00F1135D">
              <w:rPr>
                <w:noProof/>
              </w:rPr>
              <w:drawing>
                <wp:inline distT="0" distB="0" distL="0" distR="0">
                  <wp:extent cx="1586865" cy="1017270"/>
                  <wp:effectExtent l="19050" t="0" r="0" b="0"/>
                  <wp:docPr id="70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8666" t="68384" r="63745" b="3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865" cy="1017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1B93" w:rsidRDefault="00137E1D" w:rsidP="00137E1D">
      <w:pPr>
        <w:tabs>
          <w:tab w:val="left" w:pos="1482"/>
        </w:tabs>
      </w:pPr>
      <w:r>
        <w:t>Notons que chaque somite correspond à un massif de cellules épithélioïdes :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3859"/>
      </w:tblGrid>
      <w:tr w:rsidR="00137E1D" w:rsidRPr="00137E1D" w:rsidTr="003B205F">
        <w:tc>
          <w:tcPr>
            <w:tcW w:w="5353" w:type="dxa"/>
          </w:tcPr>
          <w:p w:rsidR="00137E1D" w:rsidRPr="00137E1D" w:rsidRDefault="00137E1D" w:rsidP="00137E1D">
            <w:r w:rsidRPr="00137E1D">
              <w:t xml:space="preserve">- les cellules les plus internes prolifèrent, deviennent polymorphes et migrent vers la chorde. Ces cellules constituent le </w:t>
            </w:r>
            <w:r w:rsidRPr="00137E1D">
              <w:rPr>
                <w:b/>
              </w:rPr>
              <w:t>sclérotome</w:t>
            </w:r>
            <w:r w:rsidRPr="00137E1D">
              <w:t>, tissu mésenchymateux lâche dont les cellules ont un pouvoir de différenciations multiples (cellules multipotentes). Elles peuvent ainsi donner des fibroblastes, des chondroblastes, des ostéoblastes…</w:t>
            </w:r>
          </w:p>
          <w:p w:rsidR="00137E1D" w:rsidRPr="00137E1D" w:rsidRDefault="00137E1D" w:rsidP="00137E1D"/>
          <w:p w:rsidR="00137E1D" w:rsidRPr="00137E1D" w:rsidRDefault="00137E1D" w:rsidP="00137E1D">
            <w:r w:rsidRPr="00137E1D">
              <w:t xml:space="preserve">- le reste du somite forme le </w:t>
            </w:r>
            <w:r w:rsidRPr="00137E1D">
              <w:rPr>
                <w:b/>
              </w:rPr>
              <w:t>dermomyotome</w:t>
            </w:r>
            <w:r w:rsidRPr="00137E1D">
              <w:t xml:space="preserve"> dont :</w:t>
            </w:r>
          </w:p>
          <w:p w:rsidR="00137E1D" w:rsidRPr="00137E1D" w:rsidRDefault="00137E1D" w:rsidP="00137E1D">
            <w:pPr>
              <w:ind w:left="360"/>
            </w:pPr>
            <w:r w:rsidRPr="00137E1D">
              <w:t xml:space="preserve">+ les cellules internes constituent le </w:t>
            </w:r>
            <w:r w:rsidRPr="00137E1D">
              <w:rPr>
                <w:b/>
              </w:rPr>
              <w:t>myotome</w:t>
            </w:r>
            <w:r w:rsidRPr="00137E1D">
              <w:t xml:space="preserve"> (à l'origine des éléments musculaires du métamère);</w:t>
            </w:r>
          </w:p>
          <w:p w:rsidR="00137E1D" w:rsidRPr="00137E1D" w:rsidRDefault="00137E1D" w:rsidP="00137E1D">
            <w:pPr>
              <w:ind w:left="360"/>
              <w:rPr>
                <w:snapToGrid w:val="0"/>
              </w:rPr>
            </w:pPr>
            <w:r w:rsidRPr="00137E1D">
              <w:t xml:space="preserve">+ les cellules externes constituent le </w:t>
            </w:r>
            <w:r w:rsidRPr="00137E1D">
              <w:rPr>
                <w:b/>
              </w:rPr>
              <w:t>dermatome</w:t>
            </w:r>
            <w:r w:rsidRPr="00137E1D">
              <w:t xml:space="preserve"> (à l'origine du derme et </w:t>
            </w:r>
            <w:r w:rsidR="00734445" w:rsidRPr="00137E1D">
              <w:t>des tissus</w:t>
            </w:r>
            <w:r w:rsidRPr="00137E1D">
              <w:t xml:space="preserve"> sous-cutanés). </w:t>
            </w:r>
          </w:p>
          <w:p w:rsidR="00137E1D" w:rsidRPr="00137E1D" w:rsidRDefault="00137E1D" w:rsidP="00137E1D"/>
        </w:tc>
        <w:tc>
          <w:tcPr>
            <w:tcW w:w="3859" w:type="dxa"/>
            <w:vAlign w:val="center"/>
          </w:tcPr>
          <w:p w:rsidR="00137E1D" w:rsidRDefault="00137E1D" w:rsidP="00137E1D">
            <w:pPr>
              <w:jc w:val="center"/>
            </w:pPr>
            <w:r w:rsidRPr="00137E1D">
              <w:rPr>
                <w:noProof/>
              </w:rPr>
              <w:drawing>
                <wp:inline distT="0" distB="0" distL="0" distR="0">
                  <wp:extent cx="2481501" cy="1434465"/>
                  <wp:effectExtent l="19050" t="0" r="0" b="0"/>
                  <wp:docPr id="73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10000" contrast="20000"/>
                          </a:blip>
                          <a:srcRect l="38777" t="71398" r="30379" b="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368" cy="1435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7E1D" w:rsidRPr="00137E1D" w:rsidRDefault="00137E1D" w:rsidP="003B205F">
            <w:pPr>
              <w:jc w:val="left"/>
            </w:pPr>
            <w:r w:rsidRPr="00137E1D">
              <w:rPr>
                <w:noProof/>
              </w:rPr>
              <w:drawing>
                <wp:inline distT="0" distB="0" distL="0" distR="0">
                  <wp:extent cx="1564005" cy="1600119"/>
                  <wp:effectExtent l="19050" t="0" r="0" b="0"/>
                  <wp:docPr id="74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10000" contrast="20000"/>
                          </a:blip>
                          <a:srcRect l="61591" t="71398" r="21013" b="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005" cy="1600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7E1D" w:rsidRPr="00137E1D" w:rsidRDefault="003B205F" w:rsidP="003B205F"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249170" cy="2421255"/>
            <wp:effectExtent l="19050" t="0" r="0" b="0"/>
            <wp:wrapSquare wrapText="bothSides"/>
            <wp:docPr id="76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10000" contrast="20000"/>
                    </a:blip>
                    <a:srcRect l="49983" t="14444" r="8837"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242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B93" w:rsidRDefault="00137E1D" w:rsidP="00D81B93">
      <w:pPr>
        <w:tabs>
          <w:tab w:val="left" w:pos="1510"/>
        </w:tabs>
        <w:rPr>
          <w:snapToGrid w:val="0"/>
        </w:rPr>
      </w:pPr>
      <w:r>
        <w:rPr>
          <w:snapToGrid w:val="0"/>
        </w:rPr>
        <w:t xml:space="preserve">          </w:t>
      </w:r>
      <w:r w:rsidR="00D81B93">
        <w:rPr>
          <w:snapToGrid w:val="0"/>
        </w:rPr>
        <w:t xml:space="preserve">A J30, il y a environ 30 paires de somites mais la métamérisation se poursuivra jusqu'à J40 pour atteindre (depuis l'extrémité céphalique jusqu'à l'extrémité caudale) </w:t>
      </w:r>
      <w:r w:rsidR="00D81B93">
        <w:rPr>
          <w:b/>
          <w:snapToGrid w:val="0"/>
        </w:rPr>
        <w:t>42 à 44 paires de somites</w:t>
      </w:r>
      <w:r w:rsidR="00D81B93">
        <w:rPr>
          <w:snapToGrid w:val="0"/>
        </w:rPr>
        <w:t>, se répartissant comme suit</w:t>
      </w:r>
      <w:r w:rsidR="00D81B93">
        <w:rPr>
          <w:b/>
          <w:snapToGrid w:val="0"/>
        </w:rPr>
        <w:t xml:space="preserve"> </w:t>
      </w:r>
      <w:r w:rsidR="00D81B93">
        <w:rPr>
          <w:snapToGrid w:val="0"/>
        </w:rPr>
        <w:t xml:space="preserve">: </w:t>
      </w:r>
    </w:p>
    <w:p w:rsidR="00D81B93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3 à 4 paires occipitales (transitoires et mal individualisées);</w:t>
      </w:r>
    </w:p>
    <w:p w:rsidR="00D81B93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8 paires </w:t>
      </w:r>
      <w:r w:rsidR="00734445">
        <w:rPr>
          <w:snapToGrid w:val="0"/>
        </w:rPr>
        <w:t>cervicales ;</w:t>
      </w:r>
    </w:p>
    <w:p w:rsidR="00D81B93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12 paires </w:t>
      </w:r>
      <w:r w:rsidR="00734445">
        <w:rPr>
          <w:snapToGrid w:val="0"/>
        </w:rPr>
        <w:t>dorsales ;</w:t>
      </w:r>
    </w:p>
    <w:p w:rsidR="00D81B93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5 paires </w:t>
      </w:r>
      <w:r w:rsidR="00734445">
        <w:rPr>
          <w:snapToGrid w:val="0"/>
        </w:rPr>
        <w:t>lombaires ;</w:t>
      </w:r>
    </w:p>
    <w:p w:rsidR="00D81B93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5 paires </w:t>
      </w:r>
      <w:r w:rsidR="00734445">
        <w:rPr>
          <w:snapToGrid w:val="0"/>
        </w:rPr>
        <w:t>sacrées ;</w:t>
      </w:r>
    </w:p>
    <w:p w:rsidR="00137E1D" w:rsidRPr="003B205F" w:rsidRDefault="00D81B93" w:rsidP="003B664F">
      <w:pPr>
        <w:widowControl w:val="0"/>
        <w:numPr>
          <w:ilvl w:val="0"/>
          <w:numId w:val="9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>8 à 12 paires coccygiennes.</w:t>
      </w:r>
    </w:p>
    <w:p w:rsidR="00D81B93" w:rsidRDefault="00D81B93" w:rsidP="00D81B93">
      <w:pPr>
        <w:pStyle w:val="Titre5"/>
        <w:keepLines w:val="0"/>
        <w:tabs>
          <w:tab w:val="num" w:pos="1494"/>
        </w:tabs>
        <w:spacing w:before="120"/>
        <w:ind w:left="1474" w:hanging="340"/>
        <w:rPr>
          <w:rFonts w:ascii="Times New Roman" w:hAnsi="Times New Roman" w:cs="Times New Roman"/>
          <w:b/>
          <w:i/>
          <w:snapToGrid w:val="0"/>
          <w:u w:val="single"/>
        </w:rPr>
      </w:pPr>
      <w:r w:rsidRPr="00F1135D">
        <w:rPr>
          <w:rFonts w:ascii="Times New Roman" w:hAnsi="Times New Roman" w:cs="Times New Roman"/>
          <w:b/>
          <w:i/>
          <w:snapToGrid w:val="0"/>
          <w:u w:val="single"/>
        </w:rPr>
        <w:lastRenderedPageBreak/>
        <w:t xml:space="preserve">le mésoblaste intermédiaire </w:t>
      </w:r>
    </w:p>
    <w:p w:rsidR="003B205F" w:rsidRPr="003B205F" w:rsidRDefault="003B205F" w:rsidP="003B205F"/>
    <w:p w:rsidR="00D81B93" w:rsidRDefault="00D81B93" w:rsidP="00D81B93">
      <w:pPr>
        <w:rPr>
          <w:snapToGrid w:val="0"/>
        </w:rPr>
      </w:pPr>
      <w:r>
        <w:t xml:space="preserve">Il </w:t>
      </w:r>
      <w:r>
        <w:rPr>
          <w:snapToGrid w:val="0"/>
        </w:rPr>
        <w:t>se segmente à son tour depuis le niveau de la 2</w:t>
      </w:r>
      <w:r w:rsidR="00050F8B">
        <w:rPr>
          <w:snapToGrid w:val="0"/>
          <w:vertAlign w:val="superscript"/>
        </w:rPr>
        <w:t>ème</w:t>
      </w:r>
      <w:r w:rsidR="00050F8B">
        <w:rPr>
          <w:snapToGrid w:val="0"/>
        </w:rPr>
        <w:t xml:space="preserve"> paire</w:t>
      </w:r>
      <w:r>
        <w:rPr>
          <w:snapToGrid w:val="0"/>
        </w:rPr>
        <w:t xml:space="preserve"> des somites occipitaux jusqu'à celui de la 4</w:t>
      </w:r>
      <w:r>
        <w:rPr>
          <w:snapToGrid w:val="0"/>
          <w:vertAlign w:val="superscript"/>
        </w:rPr>
        <w:t>ème</w:t>
      </w:r>
      <w:r>
        <w:rPr>
          <w:snapToGrid w:val="0"/>
        </w:rPr>
        <w:t xml:space="preserve"> paire des somites lombaires pour constituer des petits amas cellulaires, les </w:t>
      </w:r>
      <w:r>
        <w:rPr>
          <w:b/>
          <w:snapToGrid w:val="0"/>
        </w:rPr>
        <w:t>néphrotomes</w:t>
      </w:r>
      <w:r>
        <w:rPr>
          <w:snapToGrid w:val="0"/>
        </w:rPr>
        <w:t xml:space="preserve">, ébauches successives de la </w:t>
      </w:r>
      <w:r>
        <w:rPr>
          <w:b/>
          <w:snapToGrid w:val="0"/>
        </w:rPr>
        <w:t>portion sécrétrice de l'appareil urinaire</w:t>
      </w:r>
      <w:r>
        <w:rPr>
          <w:snapToGrid w:val="0"/>
        </w:rPr>
        <w:t xml:space="preserve">. </w:t>
      </w:r>
    </w:p>
    <w:p w:rsidR="003B205F" w:rsidRDefault="003B205F" w:rsidP="00D81B93">
      <w:pPr>
        <w:rPr>
          <w:snapToGrid w:val="0"/>
        </w:rPr>
      </w:pPr>
    </w:p>
    <w:p w:rsidR="00D81B93" w:rsidRDefault="00D81B93" w:rsidP="00D81B93">
      <w:pPr>
        <w:rPr>
          <w:snapToGrid w:val="0"/>
        </w:rPr>
      </w:pPr>
      <w:r>
        <w:rPr>
          <w:snapToGrid w:val="0"/>
        </w:rPr>
        <w:t>Ces dernières sont reliées à un système de voies excrétrices qui, selon leur niveau, disparaîtront ou persisteront :</w:t>
      </w:r>
    </w:p>
    <w:p w:rsidR="003B205F" w:rsidRDefault="00D81B93" w:rsidP="003B664F">
      <w:pPr>
        <w:widowControl w:val="0"/>
        <w:numPr>
          <w:ilvl w:val="0"/>
          <w:numId w:val="10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b/>
          <w:snapToGrid w:val="0"/>
        </w:rPr>
        <w:t>Niveau 2</w:t>
      </w:r>
      <w:r>
        <w:rPr>
          <w:b/>
          <w:snapToGrid w:val="0"/>
          <w:vertAlign w:val="superscript"/>
        </w:rPr>
        <w:t>ème</w:t>
      </w:r>
      <w:r>
        <w:rPr>
          <w:b/>
          <w:snapToGrid w:val="0"/>
        </w:rPr>
        <w:t xml:space="preserve"> paire occipitale - 5</w:t>
      </w:r>
      <w:r>
        <w:rPr>
          <w:b/>
          <w:snapToGrid w:val="0"/>
          <w:vertAlign w:val="superscript"/>
        </w:rPr>
        <w:t>ème</w:t>
      </w:r>
      <w:r>
        <w:rPr>
          <w:b/>
          <w:snapToGrid w:val="0"/>
        </w:rPr>
        <w:t xml:space="preserve"> paire cervicale</w:t>
      </w:r>
      <w:r>
        <w:rPr>
          <w:snapToGrid w:val="0"/>
        </w:rPr>
        <w:t xml:space="preserve"> : les néphrotomes seront à l'origine du </w:t>
      </w:r>
      <w:r>
        <w:rPr>
          <w:b/>
          <w:snapToGrid w:val="0"/>
        </w:rPr>
        <w:t>pronéphros</w:t>
      </w:r>
      <w:r>
        <w:rPr>
          <w:snapToGrid w:val="0"/>
        </w:rPr>
        <w:t xml:space="preserve"> ou rein primordial. Ce dernier involuera avec ses voies excrétrices</w:t>
      </w:r>
    </w:p>
    <w:p w:rsidR="00D81B93" w:rsidRDefault="00D81B93" w:rsidP="003B205F">
      <w:pPr>
        <w:widowControl w:val="0"/>
        <w:spacing w:line="240" w:lineRule="atLeast"/>
        <w:ind w:left="567"/>
        <w:rPr>
          <w:snapToGrid w:val="0"/>
        </w:rPr>
      </w:pPr>
      <w:r>
        <w:rPr>
          <w:snapToGrid w:val="0"/>
        </w:rPr>
        <w:t>.</w:t>
      </w:r>
    </w:p>
    <w:p w:rsidR="003B205F" w:rsidRDefault="00D81B93" w:rsidP="003B664F">
      <w:pPr>
        <w:widowControl w:val="0"/>
        <w:numPr>
          <w:ilvl w:val="0"/>
          <w:numId w:val="10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b/>
          <w:snapToGrid w:val="0"/>
        </w:rPr>
        <w:t>Niveau 6</w:t>
      </w:r>
      <w:r>
        <w:rPr>
          <w:b/>
          <w:snapToGrid w:val="0"/>
          <w:vertAlign w:val="superscript"/>
        </w:rPr>
        <w:t>ème</w:t>
      </w:r>
      <w:r>
        <w:rPr>
          <w:b/>
          <w:snapToGrid w:val="0"/>
        </w:rPr>
        <w:t xml:space="preserve"> paire cervicale - 4</w:t>
      </w:r>
      <w:r>
        <w:rPr>
          <w:b/>
          <w:snapToGrid w:val="0"/>
          <w:vertAlign w:val="superscript"/>
        </w:rPr>
        <w:t>ème</w:t>
      </w:r>
      <w:r>
        <w:rPr>
          <w:b/>
          <w:snapToGrid w:val="0"/>
        </w:rPr>
        <w:t xml:space="preserve"> paire lombaire</w:t>
      </w:r>
      <w:r>
        <w:rPr>
          <w:snapToGrid w:val="0"/>
        </w:rPr>
        <w:t xml:space="preserve"> : il se forme deux néphrotomes par métamère, l'ensemble constituant le </w:t>
      </w:r>
      <w:r>
        <w:rPr>
          <w:b/>
          <w:snapToGrid w:val="0"/>
        </w:rPr>
        <w:t xml:space="preserve">mésonéphros </w:t>
      </w:r>
      <w:r>
        <w:rPr>
          <w:snapToGrid w:val="0"/>
        </w:rPr>
        <w:t xml:space="preserve">ou rein intermédiaire. Là, les voies excrétrices portent le nom de </w:t>
      </w:r>
      <w:r>
        <w:rPr>
          <w:i/>
          <w:snapToGrid w:val="0"/>
        </w:rPr>
        <w:t>canaux de Wolff</w:t>
      </w:r>
      <w:r>
        <w:rPr>
          <w:snapToGrid w:val="0"/>
        </w:rPr>
        <w:t xml:space="preserve"> et participeront aux voies         uro-génitales</w:t>
      </w:r>
    </w:p>
    <w:p w:rsidR="00D81B93" w:rsidRDefault="00D81B93" w:rsidP="003B205F">
      <w:pPr>
        <w:widowControl w:val="0"/>
        <w:spacing w:line="240" w:lineRule="atLeast"/>
        <w:ind w:left="567"/>
        <w:rPr>
          <w:snapToGrid w:val="0"/>
        </w:rPr>
      </w:pPr>
      <w:r>
        <w:rPr>
          <w:snapToGrid w:val="0"/>
        </w:rPr>
        <w:t>.</w:t>
      </w:r>
    </w:p>
    <w:p w:rsidR="00D81B93" w:rsidRDefault="00D81B93" w:rsidP="003B664F">
      <w:pPr>
        <w:widowControl w:val="0"/>
        <w:numPr>
          <w:ilvl w:val="0"/>
          <w:numId w:val="10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b/>
          <w:snapToGrid w:val="0"/>
        </w:rPr>
        <w:t>La partie la plus caudale du cordon néphrogène</w:t>
      </w:r>
      <w:r>
        <w:rPr>
          <w:snapToGrid w:val="0"/>
        </w:rPr>
        <w:t xml:space="preserve"> : ne se métamérise pas et donnera ultérieurement naissance au </w:t>
      </w:r>
      <w:r>
        <w:rPr>
          <w:b/>
          <w:snapToGrid w:val="0"/>
        </w:rPr>
        <w:t>métanéphros</w:t>
      </w:r>
      <w:r>
        <w:rPr>
          <w:snapToGrid w:val="0"/>
        </w:rPr>
        <w:t xml:space="preserve"> ou rein définitif.</w:t>
      </w: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3B205F" w:rsidRDefault="003B205F" w:rsidP="003B205F">
      <w:pPr>
        <w:widowControl w:val="0"/>
        <w:spacing w:line="240" w:lineRule="atLeast"/>
        <w:jc w:val="center"/>
        <w:rPr>
          <w:snapToGrid w:val="0"/>
        </w:rPr>
      </w:pPr>
      <w:r>
        <w:rPr>
          <w:noProof/>
        </w:rPr>
        <w:drawing>
          <wp:inline distT="0" distB="0" distL="0" distR="0">
            <wp:extent cx="5883477" cy="4030134"/>
            <wp:effectExtent l="19050" t="0" r="2973" b="0"/>
            <wp:docPr id="77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8501" t="9683" r="9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546" cy="403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527B36" w:rsidRDefault="00527B36" w:rsidP="003B205F">
      <w:pPr>
        <w:widowControl w:val="0"/>
        <w:spacing w:line="240" w:lineRule="atLeast"/>
        <w:jc w:val="center"/>
        <w:rPr>
          <w:snapToGrid w:val="0"/>
        </w:rPr>
      </w:pPr>
    </w:p>
    <w:p w:rsidR="00D81B93" w:rsidRPr="00F1135D" w:rsidRDefault="00D81B93" w:rsidP="00D81B93">
      <w:pPr>
        <w:pStyle w:val="Titre5"/>
        <w:keepLines w:val="0"/>
        <w:tabs>
          <w:tab w:val="num" w:pos="1494"/>
        </w:tabs>
        <w:spacing w:before="120"/>
        <w:ind w:left="1474" w:hanging="340"/>
        <w:rPr>
          <w:rFonts w:ascii="Times New Roman" w:hAnsi="Times New Roman" w:cs="Times New Roman"/>
          <w:b/>
          <w:i/>
          <w:snapToGrid w:val="0"/>
          <w:u w:val="single"/>
        </w:rPr>
      </w:pPr>
      <w:r w:rsidRPr="00F1135D">
        <w:rPr>
          <w:rFonts w:ascii="Times New Roman" w:hAnsi="Times New Roman" w:cs="Times New Roman"/>
          <w:b/>
          <w:i/>
          <w:snapToGrid w:val="0"/>
          <w:u w:val="single"/>
        </w:rPr>
        <w:lastRenderedPageBreak/>
        <w:t xml:space="preserve">le mésoblaste latéral </w:t>
      </w:r>
    </w:p>
    <w:p w:rsidR="003B205F" w:rsidRDefault="003B205F" w:rsidP="00D81B93">
      <w:r>
        <w:t xml:space="preserve">       </w:t>
      </w:r>
      <w:r w:rsidR="00D81B93">
        <w:t xml:space="preserve">Il ne se segmente pas mais se clive dès la fin de la troisième semaine en deux lames, splanchnopleurale et somatopleurale, qui bordent au moment de la délimitation de l'embryon, le </w:t>
      </w:r>
      <w:r w:rsidR="00D81B93">
        <w:rPr>
          <w:b/>
        </w:rPr>
        <w:t>cœlome interne</w:t>
      </w:r>
      <w:r w:rsidR="00D81B93">
        <w:t xml:space="preserve"> ou intra-embryonnaire. </w:t>
      </w:r>
    </w:p>
    <w:p w:rsidR="00527B36" w:rsidRDefault="00527B36" w:rsidP="00527B36">
      <w:pPr>
        <w:jc w:val="center"/>
      </w:pPr>
      <w:r w:rsidRPr="00527B36">
        <w:rPr>
          <w:noProof/>
        </w:rPr>
        <w:drawing>
          <wp:inline distT="0" distB="0" distL="0" distR="0">
            <wp:extent cx="3085034" cy="2455334"/>
            <wp:effectExtent l="19050" t="0" r="1066" b="0"/>
            <wp:docPr id="87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2826" t="18577" r="23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033" cy="24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B93" w:rsidRDefault="00527B36" w:rsidP="00D81B93">
      <w:pPr>
        <w:rPr>
          <w:snapToGrid w:val="0"/>
        </w:rPr>
      </w:pPr>
      <w:r>
        <w:t>L</w:t>
      </w:r>
      <w:r w:rsidR="003B205F">
        <w:t xml:space="preserve">e </w:t>
      </w:r>
      <w:r w:rsidR="003B205F">
        <w:rPr>
          <w:b/>
        </w:rPr>
        <w:t>cœlome interne</w:t>
      </w:r>
      <w:r w:rsidR="003B205F">
        <w:t xml:space="preserve"> ou intra-embryonnaire </w:t>
      </w:r>
      <w:r w:rsidR="00D81B93">
        <w:t>correspond :</w:t>
      </w:r>
    </w:p>
    <w:p w:rsidR="00D81B93" w:rsidRPr="003B205F" w:rsidRDefault="00050F8B" w:rsidP="003B664F">
      <w:pPr>
        <w:pStyle w:val="Titre5"/>
        <w:keepLines w:val="0"/>
        <w:numPr>
          <w:ilvl w:val="0"/>
          <w:numId w:val="11"/>
        </w:numPr>
        <w:tabs>
          <w:tab w:val="clear" w:pos="360"/>
          <w:tab w:val="num" w:pos="567"/>
        </w:tabs>
        <w:spacing w:before="0"/>
        <w:ind w:left="568" w:hanging="284"/>
        <w:rPr>
          <w:rFonts w:ascii="Times New Roman" w:hAnsi="Times New Roman"/>
          <w:snapToGrid w:val="0"/>
          <w:color w:val="000000" w:themeColor="text1"/>
        </w:rPr>
      </w:pPr>
      <w:r w:rsidRPr="003B205F">
        <w:rPr>
          <w:rFonts w:ascii="Times New Roman" w:hAnsi="Times New Roman"/>
          <w:color w:val="000000" w:themeColor="text1"/>
        </w:rPr>
        <w:t>Dans</w:t>
      </w:r>
      <w:r w:rsidR="00D81B93" w:rsidRPr="003B205F">
        <w:rPr>
          <w:rFonts w:ascii="Times New Roman" w:hAnsi="Times New Roman"/>
          <w:snapToGrid w:val="0"/>
          <w:color w:val="000000" w:themeColor="text1"/>
        </w:rPr>
        <w:t xml:space="preserve"> la partie moyenne et caudale, à la </w:t>
      </w:r>
      <w:r w:rsidR="00D81B93" w:rsidRPr="003B205F">
        <w:rPr>
          <w:rFonts w:ascii="Times New Roman" w:hAnsi="Times New Roman"/>
          <w:b/>
          <w:snapToGrid w:val="0"/>
          <w:color w:val="000000" w:themeColor="text1"/>
        </w:rPr>
        <w:t>cavité pleuro-</w:t>
      </w:r>
      <w:r w:rsidRPr="003B205F">
        <w:rPr>
          <w:rFonts w:ascii="Times New Roman" w:hAnsi="Times New Roman"/>
          <w:b/>
          <w:snapToGrid w:val="0"/>
          <w:color w:val="000000" w:themeColor="text1"/>
        </w:rPr>
        <w:t>péritonéale</w:t>
      </w:r>
      <w:r w:rsidRPr="003B205F">
        <w:rPr>
          <w:rFonts w:ascii="Times New Roman" w:hAnsi="Times New Roman"/>
          <w:snapToGrid w:val="0"/>
          <w:color w:val="000000" w:themeColor="text1"/>
        </w:rPr>
        <w:t xml:space="preserve"> ;</w:t>
      </w:r>
    </w:p>
    <w:p w:rsidR="00D81B93" w:rsidRPr="003B205F" w:rsidRDefault="00050F8B" w:rsidP="003B664F">
      <w:pPr>
        <w:pStyle w:val="Titre5"/>
        <w:keepLines w:val="0"/>
        <w:numPr>
          <w:ilvl w:val="0"/>
          <w:numId w:val="11"/>
        </w:numPr>
        <w:tabs>
          <w:tab w:val="clear" w:pos="360"/>
          <w:tab w:val="num" w:pos="567"/>
        </w:tabs>
        <w:spacing w:before="0"/>
        <w:ind w:left="568" w:hanging="284"/>
        <w:rPr>
          <w:rFonts w:ascii="Times New Roman" w:hAnsi="Times New Roman"/>
          <w:snapToGrid w:val="0"/>
          <w:color w:val="000000" w:themeColor="text1"/>
        </w:rPr>
      </w:pPr>
      <w:r w:rsidRPr="003B205F">
        <w:rPr>
          <w:rFonts w:ascii="Times New Roman" w:hAnsi="Times New Roman"/>
          <w:snapToGrid w:val="0"/>
          <w:color w:val="000000" w:themeColor="text1"/>
        </w:rPr>
        <w:t>Autour</w:t>
      </w:r>
      <w:r w:rsidR="00D81B93" w:rsidRPr="003B205F">
        <w:rPr>
          <w:rFonts w:ascii="Times New Roman" w:hAnsi="Times New Roman"/>
          <w:snapToGrid w:val="0"/>
          <w:color w:val="000000" w:themeColor="text1"/>
        </w:rPr>
        <w:t xml:space="preserve"> de l'ébauche cardiaque, à la </w:t>
      </w:r>
      <w:r w:rsidR="00D81B93" w:rsidRPr="003B205F">
        <w:rPr>
          <w:rFonts w:ascii="Times New Roman" w:hAnsi="Times New Roman"/>
          <w:b/>
          <w:snapToGrid w:val="0"/>
          <w:color w:val="000000" w:themeColor="text1"/>
        </w:rPr>
        <w:t>cavité péricardique</w:t>
      </w:r>
      <w:r w:rsidR="00D81B93" w:rsidRPr="003B205F">
        <w:rPr>
          <w:rFonts w:ascii="Times New Roman" w:hAnsi="Times New Roman"/>
          <w:snapToGrid w:val="0"/>
          <w:color w:val="000000" w:themeColor="text1"/>
        </w:rPr>
        <w:t>.</w:t>
      </w:r>
    </w:p>
    <w:p w:rsidR="003B205F" w:rsidRDefault="003B205F" w:rsidP="003B205F"/>
    <w:p w:rsidR="00527B36" w:rsidRDefault="00527B36" w:rsidP="00527B36">
      <w:pPr>
        <w:jc w:val="center"/>
      </w:pPr>
      <w:r>
        <w:rPr>
          <w:noProof/>
        </w:rPr>
        <w:drawing>
          <wp:inline distT="0" distB="0" distL="0" distR="0">
            <wp:extent cx="5009542" cy="3183467"/>
            <wp:effectExtent l="19050" t="0" r="608" b="0"/>
            <wp:docPr id="8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790" t="11268" r="8559" b="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644" cy="318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B36" w:rsidRPr="003B205F" w:rsidRDefault="00527B36" w:rsidP="003B205F"/>
    <w:p w:rsidR="00D81B93" w:rsidRDefault="00527B36" w:rsidP="003B205F">
      <w:r>
        <w:t xml:space="preserve">      </w:t>
      </w:r>
      <w:r w:rsidR="00D81B93">
        <w:t xml:space="preserve">Au cours de la quatrième semaine, au niveau de certains métamères, des cellules du mésoblaste somatopleural migrent latéralement et soulèvent l'épiblaste pour constituer les </w:t>
      </w:r>
      <w:r w:rsidR="00D81B93" w:rsidRPr="003B205F">
        <w:t>bourgeons des membres</w:t>
      </w:r>
      <w:r w:rsidR="00D81B93">
        <w:t xml:space="preserve"> :</w:t>
      </w:r>
    </w:p>
    <w:p w:rsidR="00D81B93" w:rsidRDefault="00D81B93" w:rsidP="003B664F">
      <w:pPr>
        <w:widowControl w:val="0"/>
        <w:numPr>
          <w:ilvl w:val="0"/>
          <w:numId w:val="12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vers J26, au niveau des derniers métamères cervicaux et des premiers dorsaux : les </w:t>
      </w:r>
      <w:r>
        <w:rPr>
          <w:b/>
          <w:snapToGrid w:val="0"/>
        </w:rPr>
        <w:t>bourgeons des membres supérieurs</w:t>
      </w:r>
      <w:r>
        <w:rPr>
          <w:snapToGrid w:val="0"/>
        </w:rPr>
        <w:t>;</w:t>
      </w:r>
    </w:p>
    <w:p w:rsidR="00D81B93" w:rsidRDefault="00D81B93" w:rsidP="003B664F">
      <w:pPr>
        <w:widowControl w:val="0"/>
        <w:numPr>
          <w:ilvl w:val="0"/>
          <w:numId w:val="12"/>
        </w:numPr>
        <w:tabs>
          <w:tab w:val="clear" w:pos="360"/>
          <w:tab w:val="num" w:pos="567"/>
        </w:tabs>
        <w:spacing w:line="240" w:lineRule="atLeast"/>
        <w:ind w:left="567" w:hanging="283"/>
        <w:rPr>
          <w:snapToGrid w:val="0"/>
        </w:rPr>
      </w:pPr>
      <w:r>
        <w:rPr>
          <w:snapToGrid w:val="0"/>
        </w:rPr>
        <w:t xml:space="preserve">vers J28, au niveau des derniers métamères lombaires et des premiers sacrés : les </w:t>
      </w:r>
      <w:r>
        <w:rPr>
          <w:b/>
          <w:snapToGrid w:val="0"/>
        </w:rPr>
        <w:t>bourgeons des membres inférieurs</w:t>
      </w:r>
      <w:r>
        <w:rPr>
          <w:snapToGrid w:val="0"/>
        </w:rPr>
        <w:t>.</w:t>
      </w:r>
    </w:p>
    <w:p w:rsidR="00527B36" w:rsidRDefault="00527B36" w:rsidP="00527B36">
      <w:pPr>
        <w:widowControl w:val="0"/>
        <w:spacing w:line="240" w:lineRule="atLeast"/>
        <w:rPr>
          <w:snapToGrid w:val="0"/>
        </w:rPr>
      </w:pPr>
    </w:p>
    <w:p w:rsidR="00D81B93" w:rsidRPr="00527B36" w:rsidRDefault="00D26ED3" w:rsidP="003B664F">
      <w:pPr>
        <w:pStyle w:val="Titre3"/>
        <w:numPr>
          <w:ilvl w:val="0"/>
          <w:numId w:val="30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2810510</wp:posOffset>
            </wp:positionH>
            <wp:positionV relativeFrom="margin">
              <wp:align>top</wp:align>
            </wp:positionV>
            <wp:extent cx="2901950" cy="2607310"/>
            <wp:effectExtent l="19050" t="0" r="0" b="0"/>
            <wp:wrapSquare wrapText="bothSides"/>
            <wp:docPr id="90" name="Image 8" descr="A698B4DF-9CCD-44B7-B3E3-421E70BA71E6-L0-0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A698B4DF-9CCD-44B7-B3E3-421E70BA71E6-L0-001.png" descr="A698B4DF-9CCD-44B7-B3E3-421E70BA71E6-L0-001.png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/>
                    </a:blip>
                    <a:srcRect l="17822" t="20679" r="30927" b="39235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60731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="00D81B93" w:rsidRPr="00527B36">
        <w:rPr>
          <w:rFonts w:ascii="Times New Roman" w:hAnsi="Times New Roman" w:cs="Times New Roman"/>
          <w:snapToGrid w:val="0"/>
          <w:u w:val="single"/>
        </w:rPr>
        <w:t>Endoblaste</w:t>
      </w:r>
    </w:p>
    <w:p w:rsidR="00527B36" w:rsidRDefault="00527B36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D81B93" w:rsidRDefault="00527B36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 xml:space="preserve">      </w:t>
      </w:r>
      <w:r w:rsidR="00D81B93">
        <w:rPr>
          <w:snapToGrid w:val="0"/>
        </w:rPr>
        <w:t xml:space="preserve">Comme nous l'avons vu précédemment, la délimitation de l'embryon entraîne la formation d'un étranglement isolant le plafond du lécithocèle. Celui-ci prend alors la forme d'une gouttière à ouverture ventrale, la </w:t>
      </w:r>
      <w:r w:rsidR="00D81B93">
        <w:rPr>
          <w:b/>
          <w:snapToGrid w:val="0"/>
        </w:rPr>
        <w:t>gouttière digestive</w:t>
      </w:r>
      <w:r w:rsidR="00D81B93">
        <w:rPr>
          <w:snapToGrid w:val="0"/>
        </w:rPr>
        <w:t xml:space="preserve">. </w:t>
      </w:r>
    </w:p>
    <w:p w:rsidR="00BC4EC2" w:rsidRDefault="00D26ED3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 xml:space="preserve">    </w:t>
      </w: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p w:rsidR="00D81B93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  <w:r>
        <w:rPr>
          <w:snapToGrid w:val="0"/>
        </w:rPr>
        <w:t xml:space="preserve"> </w:t>
      </w:r>
      <w:r w:rsidR="00D26ED3">
        <w:rPr>
          <w:snapToGrid w:val="0"/>
        </w:rPr>
        <w:t xml:space="preserve">  </w:t>
      </w:r>
      <w:r w:rsidR="00D81B93">
        <w:rPr>
          <w:snapToGrid w:val="0"/>
        </w:rPr>
        <w:t xml:space="preserve">Cette dernière se ferme progressivement au moment de la formation de l'ombilic et devient le </w:t>
      </w:r>
      <w:r w:rsidR="00D81B93">
        <w:rPr>
          <w:b/>
          <w:snapToGrid w:val="0"/>
        </w:rPr>
        <w:t>tube digestif primitif</w:t>
      </w:r>
      <w:r w:rsidR="00D81B93">
        <w:rPr>
          <w:snapToGrid w:val="0"/>
        </w:rPr>
        <w:t xml:space="preserve"> au niveau duquel, à la fin de la quatrième semaine, on distingue trois zones :</w:t>
      </w:r>
    </w:p>
    <w:p w:rsidR="00BC4EC2" w:rsidRDefault="00BC4EC2" w:rsidP="00D81B93">
      <w:pPr>
        <w:widowControl w:val="0"/>
        <w:tabs>
          <w:tab w:val="left" w:pos="284"/>
        </w:tabs>
        <w:spacing w:line="240" w:lineRule="atLeast"/>
        <w:rPr>
          <w:snapToGrid w:val="0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527B36" w:rsidTr="00D26ED3">
        <w:tc>
          <w:tcPr>
            <w:tcW w:w="3070" w:type="dxa"/>
          </w:tcPr>
          <w:p w:rsidR="00527B36" w:rsidRDefault="00527B36" w:rsidP="00D26ED3">
            <w:pPr>
              <w:widowControl w:val="0"/>
              <w:spacing w:line="240" w:lineRule="atLeast"/>
              <w:jc w:val="center"/>
              <w:rPr>
                <w:b/>
                <w:snapToGrid w:val="0"/>
              </w:rPr>
            </w:pPr>
            <w:r>
              <w:rPr>
                <w:b/>
                <w:snapToGrid w:val="0"/>
              </w:rPr>
              <w:t>l'intestin primitif antérieur</w:t>
            </w:r>
          </w:p>
        </w:tc>
        <w:tc>
          <w:tcPr>
            <w:tcW w:w="3071" w:type="dxa"/>
          </w:tcPr>
          <w:p w:rsidR="00527B36" w:rsidRDefault="00D26ED3" w:rsidP="00D26ED3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  <w:r>
              <w:rPr>
                <w:b/>
                <w:snapToGrid w:val="0"/>
              </w:rPr>
              <w:t>l'intestin primitif moyen</w:t>
            </w:r>
          </w:p>
        </w:tc>
        <w:tc>
          <w:tcPr>
            <w:tcW w:w="3071" w:type="dxa"/>
          </w:tcPr>
          <w:p w:rsidR="00527B36" w:rsidRDefault="00D26ED3" w:rsidP="00D26ED3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  <w:r>
              <w:rPr>
                <w:b/>
                <w:snapToGrid w:val="0"/>
              </w:rPr>
              <w:t>l'intestin primitif postérieur</w:t>
            </w:r>
          </w:p>
        </w:tc>
      </w:tr>
      <w:tr w:rsidR="00527B36" w:rsidTr="00D26ED3">
        <w:tc>
          <w:tcPr>
            <w:tcW w:w="3070" w:type="dxa"/>
            <w:vAlign w:val="center"/>
          </w:tcPr>
          <w:p w:rsidR="00527B36" w:rsidRDefault="00527B36" w:rsidP="00D26ED3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527B36">
              <w:rPr>
                <w:noProof/>
                <w:snapToGrid w:val="0"/>
              </w:rPr>
              <w:drawing>
                <wp:inline distT="0" distB="0" distL="0" distR="0">
                  <wp:extent cx="1426845" cy="714375"/>
                  <wp:effectExtent l="19050" t="0" r="1905" b="0"/>
                  <wp:docPr id="93" name="Image 9" descr="F900C916-891C-47AC-8F54-2FD1790CADB2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F900C916-891C-47AC-8F54-2FD1790CADB2-L0-001.png" descr="F900C916-891C-47AC-8F54-2FD1790CADB2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lum bright="-10000" contrast="20000"/>
                            <a:extLst/>
                          </a:blip>
                          <a:srcRect l="32670" t="25462" r="48756" b="67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140" cy="714523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B36" w:rsidRDefault="00527B36" w:rsidP="00D26ED3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</w:p>
        </w:tc>
        <w:tc>
          <w:tcPr>
            <w:tcW w:w="3071" w:type="dxa"/>
            <w:vAlign w:val="center"/>
          </w:tcPr>
          <w:p w:rsidR="00527B36" w:rsidRDefault="00527B36" w:rsidP="00D26ED3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  <w:r w:rsidRPr="00527B36">
              <w:rPr>
                <w:noProof/>
                <w:snapToGrid w:val="0"/>
              </w:rPr>
              <w:drawing>
                <wp:inline distT="0" distB="0" distL="0" distR="0">
                  <wp:extent cx="1318260" cy="811530"/>
                  <wp:effectExtent l="19050" t="0" r="0" b="0"/>
                  <wp:docPr id="94" name="Image 10" descr="BCE33506-D3B6-4819-8AF8-247271F9C408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BCE33506-D3B6-4819-8AF8-247271F9C408-L0-001.png" descr="BCE33506-D3B6-4819-8AF8-247271F9C408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lum bright="-10000" contrast="20000"/>
                            <a:extLst/>
                          </a:blip>
                          <a:srcRect l="30452" t="23502" r="49018" b="67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343" cy="810965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vAlign w:val="center"/>
          </w:tcPr>
          <w:p w:rsidR="00527B36" w:rsidRDefault="00D26ED3" w:rsidP="00D26ED3">
            <w:pPr>
              <w:widowControl w:val="0"/>
              <w:tabs>
                <w:tab w:val="left" w:pos="284"/>
              </w:tabs>
              <w:spacing w:line="240" w:lineRule="atLeast"/>
              <w:jc w:val="center"/>
              <w:rPr>
                <w:snapToGrid w:val="0"/>
              </w:rPr>
            </w:pPr>
            <w:r w:rsidRPr="00D26ED3">
              <w:rPr>
                <w:noProof/>
                <w:snapToGrid w:val="0"/>
              </w:rPr>
              <w:drawing>
                <wp:inline distT="0" distB="0" distL="0" distR="0">
                  <wp:extent cx="1235890" cy="771525"/>
                  <wp:effectExtent l="19050" t="0" r="2360" b="0"/>
                  <wp:docPr id="96" name="Image 11" descr="15C28596-DEC4-4909-B8C7-E95CD26FEA55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15C28596-DEC4-4909-B8C7-E95CD26FEA55-L0-001.png" descr="15C28596-DEC4-4909-B8C7-E95CD26FEA55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lum bright="-10000" contrast="20000"/>
                            <a:extLst/>
                          </a:blip>
                          <a:srcRect l="25554" t="22306" r="47476" b="65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52" cy="772251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B36" w:rsidTr="00D26ED3">
        <w:tc>
          <w:tcPr>
            <w:tcW w:w="3070" w:type="dxa"/>
          </w:tcPr>
          <w:p w:rsidR="00527B36" w:rsidRDefault="00527B36" w:rsidP="00D81B93">
            <w:pPr>
              <w:widowControl w:val="0"/>
              <w:tabs>
                <w:tab w:val="left" w:pos="284"/>
              </w:tabs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>qui s'ouvre, à J27 et à son extrémité crâniale, dans la cavité amniotique; ce, du fait de la résorption de la membrane pharyngienne;</w:t>
            </w:r>
          </w:p>
        </w:tc>
        <w:tc>
          <w:tcPr>
            <w:tcW w:w="3071" w:type="dxa"/>
          </w:tcPr>
          <w:p w:rsidR="00527B36" w:rsidRDefault="00D26ED3" w:rsidP="00D81B93">
            <w:pPr>
              <w:widowControl w:val="0"/>
              <w:tabs>
                <w:tab w:val="left" w:pos="284"/>
              </w:tabs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relié à la </w:t>
            </w:r>
            <w:r>
              <w:rPr>
                <w:b/>
                <w:snapToGrid w:val="0"/>
              </w:rPr>
              <w:t>vésicule ombilicale</w:t>
            </w:r>
            <w:r>
              <w:rPr>
                <w:snapToGrid w:val="0"/>
              </w:rPr>
              <w:t xml:space="preserve"> par le canal vitellin.</w:t>
            </w:r>
          </w:p>
        </w:tc>
        <w:tc>
          <w:tcPr>
            <w:tcW w:w="3071" w:type="dxa"/>
          </w:tcPr>
          <w:p w:rsidR="00D26ED3" w:rsidRDefault="00D26ED3" w:rsidP="00D26ED3">
            <w:pPr>
              <w:widowControl w:val="0"/>
              <w:spacing w:line="240" w:lineRule="atLeast"/>
              <w:rPr>
                <w:snapToGrid w:val="0"/>
              </w:rPr>
            </w:pPr>
            <w:r>
              <w:rPr>
                <w:snapToGrid w:val="0"/>
              </w:rPr>
              <w:t xml:space="preserve">dont la partie terminale, le </w:t>
            </w:r>
            <w:r>
              <w:rPr>
                <w:b/>
                <w:snapToGrid w:val="0"/>
              </w:rPr>
              <w:t>cloaque</w:t>
            </w:r>
            <w:r>
              <w:rPr>
                <w:snapToGrid w:val="0"/>
              </w:rPr>
              <w:t xml:space="preserve">, est fermée par la membrane cloacale qui ne se résorbera que beaucoup plus tard. </w:t>
            </w:r>
          </w:p>
          <w:p w:rsidR="00527B36" w:rsidRDefault="00527B36" w:rsidP="00D81B93">
            <w:pPr>
              <w:widowControl w:val="0"/>
              <w:tabs>
                <w:tab w:val="left" w:pos="284"/>
              </w:tabs>
              <w:spacing w:line="240" w:lineRule="atLeast"/>
              <w:rPr>
                <w:snapToGrid w:val="0"/>
              </w:rPr>
            </w:pPr>
          </w:p>
        </w:tc>
      </w:tr>
    </w:tbl>
    <w:p w:rsidR="00D81B93" w:rsidRDefault="00D81B93" w:rsidP="00D26ED3">
      <w:pPr>
        <w:widowControl w:val="0"/>
        <w:spacing w:line="240" w:lineRule="atLeast"/>
        <w:rPr>
          <w:snapToGrid w:val="0"/>
        </w:rPr>
      </w:pP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6"/>
        <w:gridCol w:w="5060"/>
        <w:gridCol w:w="2092"/>
      </w:tblGrid>
      <w:tr w:rsidR="00BC4EC2" w:rsidTr="00D26ED3">
        <w:trPr>
          <w:jc w:val="center"/>
        </w:trPr>
        <w:tc>
          <w:tcPr>
            <w:tcW w:w="2136" w:type="dxa"/>
            <w:vAlign w:val="center"/>
          </w:tcPr>
          <w:p w:rsidR="00D26ED3" w:rsidRDefault="00D26ED3" w:rsidP="00D26ED3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D26ED3">
              <w:rPr>
                <w:noProof/>
                <w:snapToGrid w:val="0"/>
              </w:rPr>
              <w:drawing>
                <wp:inline distT="0" distB="0" distL="0" distR="0">
                  <wp:extent cx="1191613" cy="971815"/>
                  <wp:effectExtent l="19050" t="0" r="8537" b="0"/>
                  <wp:docPr id="97" name="Image 13" descr="E5D4891E-3577-4A87-98BA-57D373E58977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E5D4891E-3577-4A87-98BA-57D373E58977-L0-001.png" descr="E5D4891E-3577-4A87-98BA-57D373E58977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lum bright="-10000" contrast="20000"/>
                            <a:extLst/>
                          </a:blip>
                          <a:srcRect l="25823" t="19801" r="48705" b="64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613" cy="971815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6ED3" w:rsidRPr="00D26ED3" w:rsidRDefault="00D26ED3" w:rsidP="00D26ED3">
            <w:pPr>
              <w:widowControl w:val="0"/>
              <w:spacing w:line="240" w:lineRule="atLeast"/>
              <w:jc w:val="center"/>
              <w:rPr>
                <w:snapToGrid w:val="0"/>
                <w:sz w:val="16"/>
                <w:szCs w:val="16"/>
              </w:rPr>
            </w:pPr>
            <w:r w:rsidRPr="00D26ED3">
              <w:rPr>
                <w:snapToGrid w:val="0"/>
                <w:sz w:val="16"/>
                <w:szCs w:val="16"/>
              </w:rPr>
              <w:t>partie ventrale du cloaque</w:t>
            </w:r>
          </w:p>
        </w:tc>
        <w:tc>
          <w:tcPr>
            <w:tcW w:w="5060" w:type="dxa"/>
            <w:vAlign w:val="center"/>
          </w:tcPr>
          <w:p w:rsidR="00D26ED3" w:rsidRDefault="00D26ED3" w:rsidP="00D26ED3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>
              <w:rPr>
                <w:snapToGrid w:val="0"/>
              </w:rPr>
              <w:t xml:space="preserve">La </w:t>
            </w:r>
            <w:r w:rsidRPr="00D26ED3">
              <w:rPr>
                <w:b/>
                <w:snapToGrid w:val="0"/>
              </w:rPr>
              <w:t>partie ventrale du cloaque</w:t>
            </w:r>
            <w:r>
              <w:rPr>
                <w:snapToGrid w:val="0"/>
              </w:rPr>
              <w:t xml:space="preserve"> est en communication avec le </w:t>
            </w:r>
            <w:r>
              <w:rPr>
                <w:b/>
                <w:snapToGrid w:val="0"/>
              </w:rPr>
              <w:t>canal allantoïde</w:t>
            </w:r>
            <w:r>
              <w:rPr>
                <w:snapToGrid w:val="0"/>
              </w:rPr>
              <w:t>, lequel résulte d'un allongement du diverticule allantoïdien.</w:t>
            </w:r>
          </w:p>
        </w:tc>
        <w:tc>
          <w:tcPr>
            <w:tcW w:w="2092" w:type="dxa"/>
            <w:vAlign w:val="center"/>
          </w:tcPr>
          <w:p w:rsidR="00D26ED3" w:rsidRDefault="00D26ED3" w:rsidP="00D26ED3">
            <w:pPr>
              <w:widowControl w:val="0"/>
              <w:spacing w:line="240" w:lineRule="atLeast"/>
              <w:jc w:val="center"/>
              <w:rPr>
                <w:snapToGrid w:val="0"/>
              </w:rPr>
            </w:pPr>
            <w:r w:rsidRPr="00D26ED3">
              <w:rPr>
                <w:noProof/>
                <w:snapToGrid w:val="0"/>
              </w:rPr>
              <w:drawing>
                <wp:inline distT="0" distB="0" distL="0" distR="0">
                  <wp:extent cx="1129524" cy="1193087"/>
                  <wp:effectExtent l="19050" t="0" r="0" b="0"/>
                  <wp:docPr id="98" name="Image 14" descr="90AAD986-92C7-4D6E-A8E7-50903D1E238E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90AAD986-92C7-4D6E-A8E7-50903D1E238E-L0-001.png" descr="90AAD986-92C7-4D6E-A8E7-50903D1E238E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lum bright="-10000" contrast="20000"/>
                            <a:extLst/>
                          </a:blip>
                          <a:srcRect l="25149" t="20637" r="46109" b="56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524" cy="1193087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6ED3" w:rsidRPr="00D26ED3" w:rsidRDefault="00D26ED3" w:rsidP="00D26ED3">
            <w:pPr>
              <w:widowControl w:val="0"/>
              <w:spacing w:line="240" w:lineRule="atLeast"/>
              <w:jc w:val="center"/>
              <w:rPr>
                <w:snapToGrid w:val="0"/>
                <w:sz w:val="16"/>
                <w:szCs w:val="16"/>
              </w:rPr>
            </w:pPr>
            <w:r w:rsidRPr="00D26ED3">
              <w:rPr>
                <w:snapToGrid w:val="0"/>
                <w:sz w:val="16"/>
                <w:szCs w:val="16"/>
              </w:rPr>
              <w:t>canal allantoïde</w:t>
            </w:r>
          </w:p>
        </w:tc>
      </w:tr>
    </w:tbl>
    <w:p w:rsidR="00527B36" w:rsidRDefault="00527B36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noProof/>
        </w:rPr>
      </w:pPr>
    </w:p>
    <w:p w:rsidR="00BC4EC2" w:rsidRDefault="00BC4EC2" w:rsidP="00D26ED3">
      <w:pPr>
        <w:widowControl w:val="0"/>
        <w:spacing w:line="240" w:lineRule="atLeast"/>
        <w:rPr>
          <w:snapToGrid w:val="0"/>
        </w:rPr>
      </w:pPr>
    </w:p>
    <w:p w:rsidR="00D81B93" w:rsidRPr="00527B36" w:rsidRDefault="00D81B93" w:rsidP="003B664F">
      <w:pPr>
        <w:pStyle w:val="Titre3"/>
        <w:numPr>
          <w:ilvl w:val="0"/>
          <w:numId w:val="30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527B36">
        <w:rPr>
          <w:rFonts w:ascii="Times New Roman" w:hAnsi="Times New Roman" w:cs="Times New Roman"/>
          <w:snapToGrid w:val="0"/>
          <w:u w:val="single"/>
        </w:rPr>
        <w:lastRenderedPageBreak/>
        <w:t>Formations branchiales</w:t>
      </w:r>
    </w:p>
    <w:p w:rsidR="00D26ED3" w:rsidRDefault="00D26ED3" w:rsidP="00D81B93">
      <w:pPr>
        <w:tabs>
          <w:tab w:val="left" w:pos="284"/>
        </w:tabs>
      </w:pPr>
      <w:r>
        <w:t xml:space="preserve">         </w:t>
      </w:r>
      <w:r w:rsidR="00D81B93">
        <w:t xml:space="preserve">La partie crâniale de l'intestin antérieur, appelée </w:t>
      </w:r>
      <w:r w:rsidR="00D81B93">
        <w:rPr>
          <w:b/>
        </w:rPr>
        <w:t>intestin pharyngien</w:t>
      </w:r>
      <w:r w:rsidR="00D81B93">
        <w:t xml:space="preserve"> s'évase et s'ouvre, au moment de la résorption de la membrane pharyngienne, dans le stomodaeum (espace séparant le massif facial du reste de l'embryon). </w:t>
      </w:r>
    </w:p>
    <w:p w:rsidR="00BC4EC2" w:rsidRDefault="00D26ED3" w:rsidP="00D81B93">
      <w:pPr>
        <w:tabs>
          <w:tab w:val="left" w:pos="284"/>
        </w:tabs>
      </w:pPr>
      <w:r>
        <w:t xml:space="preserve">                      </w:t>
      </w:r>
      <w:r w:rsidR="00D81B93">
        <w:t xml:space="preserve">Cet ensemble constitue la </w:t>
      </w:r>
      <w:r w:rsidR="00D81B93">
        <w:rPr>
          <w:b/>
        </w:rPr>
        <w:t>future cavité buccale</w:t>
      </w:r>
      <w:r w:rsidR="00D81B93">
        <w:t>.</w:t>
      </w:r>
    </w:p>
    <w:tbl>
      <w:tblPr>
        <w:tblStyle w:val="Grilledutableau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89"/>
        <w:gridCol w:w="3440"/>
      </w:tblGrid>
      <w:tr w:rsidR="00BC4EC2" w:rsidTr="00BC4EC2">
        <w:tc>
          <w:tcPr>
            <w:tcW w:w="7229" w:type="dxa"/>
            <w:gridSpan w:val="2"/>
          </w:tcPr>
          <w:p w:rsidR="00BC4EC2" w:rsidRDefault="00BC4EC2" w:rsidP="00BC4EC2">
            <w:pPr>
              <w:tabs>
                <w:tab w:val="left" w:pos="284"/>
              </w:tabs>
              <w:jc w:val="center"/>
            </w:pPr>
            <w:r>
              <w:t xml:space="preserve">            </w:t>
            </w:r>
            <w:r w:rsidRPr="00BC4EC2">
              <w:rPr>
                <w:noProof/>
              </w:rPr>
              <w:drawing>
                <wp:inline distT="0" distB="0" distL="0" distR="0">
                  <wp:extent cx="3757083" cy="1817492"/>
                  <wp:effectExtent l="19050" t="0" r="0" b="0"/>
                  <wp:docPr id="102" name="Image 64" descr="Résultat de recherche d'images pour &quot;stomodaeum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Résultat de recherche d'images pour &quot;stomodaeum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lum contrast="20000"/>
                          </a:blip>
                          <a:srcRect b="21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717" cy="1821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EC2" w:rsidRPr="00BC4EC2" w:rsidTr="00BC4EC2">
        <w:tc>
          <w:tcPr>
            <w:tcW w:w="3789" w:type="dxa"/>
          </w:tcPr>
          <w:p w:rsidR="00BC4EC2" w:rsidRPr="00BC4EC2" w:rsidRDefault="00BC4EC2" w:rsidP="00BC4EC2">
            <w:pPr>
              <w:tabs>
                <w:tab w:val="left" w:pos="284"/>
              </w:tabs>
              <w:jc w:val="center"/>
              <w:rPr>
                <w:i/>
                <w:sz w:val="16"/>
                <w:szCs w:val="16"/>
              </w:rPr>
            </w:pPr>
            <w:r w:rsidRPr="00BC4EC2">
              <w:rPr>
                <w:i/>
                <w:sz w:val="16"/>
                <w:szCs w:val="16"/>
              </w:rPr>
              <w:t>Vue frontale d‘un embryon à 24 Jours, le stomadeum est clos par la membrane pharyngienne, il est entouré des bourgeons faciaux</w:t>
            </w:r>
          </w:p>
          <w:p w:rsidR="00BC4EC2" w:rsidRPr="00BC4EC2" w:rsidRDefault="00BC4EC2" w:rsidP="00BC4EC2">
            <w:pPr>
              <w:tabs>
                <w:tab w:val="left" w:pos="284"/>
              </w:tabs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3440" w:type="dxa"/>
          </w:tcPr>
          <w:p w:rsidR="00BC4EC2" w:rsidRPr="00BC4EC2" w:rsidRDefault="00BC4EC2" w:rsidP="00BC4EC2">
            <w:pPr>
              <w:tabs>
                <w:tab w:val="left" w:pos="284"/>
              </w:tabs>
              <w:jc w:val="center"/>
              <w:rPr>
                <w:i/>
                <w:sz w:val="16"/>
                <w:szCs w:val="16"/>
              </w:rPr>
            </w:pPr>
            <w:r w:rsidRPr="00BC4EC2">
              <w:rPr>
                <w:i/>
                <w:sz w:val="16"/>
                <w:szCs w:val="16"/>
              </w:rPr>
              <w:t>Vue frontale d‘un embryon plus âgé,   montrant la rupture la membrane phaygienne.</w:t>
            </w:r>
          </w:p>
          <w:p w:rsidR="00BC4EC2" w:rsidRPr="00BC4EC2" w:rsidRDefault="00BC4EC2" w:rsidP="00BC4EC2">
            <w:pPr>
              <w:tabs>
                <w:tab w:val="left" w:pos="284"/>
              </w:tabs>
              <w:jc w:val="center"/>
              <w:rPr>
                <w:i/>
                <w:sz w:val="16"/>
                <w:szCs w:val="16"/>
              </w:rPr>
            </w:pPr>
          </w:p>
        </w:tc>
      </w:tr>
    </w:tbl>
    <w:p w:rsidR="00BC4EC2" w:rsidRDefault="00BC4EC2" w:rsidP="00D81B93">
      <w:pPr>
        <w:tabs>
          <w:tab w:val="left" w:pos="284"/>
        </w:tabs>
      </w:pPr>
    </w:p>
    <w:p w:rsidR="00D81B93" w:rsidRDefault="00D81B93" w:rsidP="00D81B93">
      <w:pPr>
        <w:tabs>
          <w:tab w:val="left" w:pos="284"/>
        </w:tabs>
      </w:pPr>
      <w:r>
        <w:t>A partir de la 4</w:t>
      </w:r>
      <w:r>
        <w:rPr>
          <w:vertAlign w:val="superscript"/>
        </w:rPr>
        <w:t>ème</w:t>
      </w:r>
      <w:r>
        <w:t xml:space="preserve"> semaine :</w:t>
      </w:r>
    </w:p>
    <w:p w:rsidR="00D81B93" w:rsidRDefault="00D81B93" w:rsidP="003B664F">
      <w:pPr>
        <w:numPr>
          <w:ilvl w:val="0"/>
          <w:numId w:val="20"/>
        </w:numPr>
        <w:tabs>
          <w:tab w:val="clear" w:pos="360"/>
          <w:tab w:val="num" w:pos="567"/>
        </w:tabs>
        <w:ind w:left="567" w:hanging="283"/>
      </w:pPr>
      <w:r>
        <w:t xml:space="preserve">une série de sillons apparaît sur les parois latérales de l'intestin pharyngien : ce sont les </w:t>
      </w:r>
      <w:r>
        <w:rPr>
          <w:b/>
        </w:rPr>
        <w:t>poches endoblastiques</w:t>
      </w:r>
      <w:r>
        <w:t>;</w:t>
      </w:r>
    </w:p>
    <w:p w:rsidR="00D81B93" w:rsidRDefault="00D81B93" w:rsidP="003B664F">
      <w:pPr>
        <w:numPr>
          <w:ilvl w:val="0"/>
          <w:numId w:val="20"/>
        </w:numPr>
        <w:tabs>
          <w:tab w:val="clear" w:pos="360"/>
          <w:tab w:val="num" w:pos="567"/>
        </w:tabs>
        <w:ind w:left="567" w:hanging="283"/>
      </w:pPr>
      <w:r>
        <w:t xml:space="preserve">en même temps, sur le versant superficiel de cette région de l'embryon, se développent en regard de ces poches, des replis de l'ectoblaste (et plus précisément de l'épiblaste) : les </w:t>
      </w:r>
      <w:r>
        <w:rPr>
          <w:b/>
        </w:rPr>
        <w:t>poches ectoblastiques ou branchiales</w:t>
      </w:r>
      <w:r>
        <w:t xml:space="preserve">. </w:t>
      </w:r>
    </w:p>
    <w:p w:rsidR="00BC4EC2" w:rsidRDefault="00BC4EC2" w:rsidP="006019AC">
      <w:pPr>
        <w:jc w:val="center"/>
      </w:pPr>
    </w:p>
    <w:p w:rsidR="006019AC" w:rsidRDefault="006019AC" w:rsidP="006019AC">
      <w:pPr>
        <w:jc w:val="center"/>
      </w:pPr>
      <w:r>
        <w:rPr>
          <w:noProof/>
        </w:rPr>
        <w:drawing>
          <wp:inline distT="0" distB="0" distL="0" distR="0">
            <wp:extent cx="5628228" cy="3740150"/>
            <wp:effectExtent l="19050" t="19050" r="10572" b="12700"/>
            <wp:docPr id="100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8601" t="12063" r="8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28" cy="3740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C2" w:rsidRDefault="00BC4EC2" w:rsidP="006019AC">
      <w:pPr>
        <w:jc w:val="center"/>
      </w:pPr>
    </w:p>
    <w:p w:rsidR="00BC4EC2" w:rsidRDefault="00BC4EC2" w:rsidP="006019AC">
      <w:pPr>
        <w:jc w:val="center"/>
      </w:pPr>
    </w:p>
    <w:p w:rsidR="00BC4EC2" w:rsidRDefault="00BC4EC2" w:rsidP="006019AC">
      <w:pPr>
        <w:jc w:val="center"/>
      </w:pPr>
    </w:p>
    <w:p w:rsidR="00D81B93" w:rsidRDefault="00BC4EC2" w:rsidP="00D81B93">
      <w:r>
        <w:t xml:space="preserve">       </w:t>
      </w:r>
      <w:r w:rsidR="00D81B93">
        <w:t xml:space="preserve">Ces replis endoblastiques et épiblastiques limitent des massifs </w:t>
      </w:r>
      <w:r w:rsidR="00D81B93">
        <w:rPr>
          <w:b/>
        </w:rPr>
        <w:t>remplis de mésoblaste</w:t>
      </w:r>
      <w:r w:rsidR="00D81B93">
        <w:t xml:space="preserve">, les   </w:t>
      </w:r>
      <w:r w:rsidR="00D81B93">
        <w:rPr>
          <w:b/>
        </w:rPr>
        <w:t>arcs branchiaux</w:t>
      </w:r>
      <w:r w:rsidR="00D81B93">
        <w:t xml:space="preserve">, disposés de chaque côté de l'intestin pharyngien. Les deux premiers arcs sont visibles à partir de J24, le troisième à J26, le quatrième vers J28. Chaque arc branchial constitue, par la suite, une </w:t>
      </w:r>
      <w:r w:rsidR="00D81B93">
        <w:rPr>
          <w:b/>
        </w:rPr>
        <w:t>ébauche vasculaire</w:t>
      </w:r>
      <w:r w:rsidR="00D81B93">
        <w:t xml:space="preserve"> (futur arc aortique).</w:t>
      </w:r>
    </w:p>
    <w:p w:rsidR="005C2119" w:rsidRDefault="005C2119" w:rsidP="00D81B93"/>
    <w:tbl>
      <w:tblPr>
        <w:tblStyle w:val="Grilledutableau"/>
        <w:tblW w:w="106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6"/>
        <w:gridCol w:w="1654"/>
        <w:gridCol w:w="3071"/>
        <w:gridCol w:w="3071"/>
        <w:gridCol w:w="1416"/>
      </w:tblGrid>
      <w:tr w:rsidR="00CC1B1F" w:rsidTr="00CC1B1F">
        <w:trPr>
          <w:gridAfter w:val="1"/>
          <w:wAfter w:w="1416" w:type="dxa"/>
        </w:trPr>
        <w:tc>
          <w:tcPr>
            <w:tcW w:w="3070" w:type="dxa"/>
            <w:gridSpan w:val="2"/>
            <w:vAlign w:val="center"/>
          </w:tcPr>
          <w:p w:rsidR="00CC1B1F" w:rsidRPr="00CC1B1F" w:rsidRDefault="00CC1B1F" w:rsidP="00CC1B1F">
            <w:pPr>
              <w:tabs>
                <w:tab w:val="left" w:pos="284"/>
              </w:tabs>
              <w:ind w:left="284" w:hanging="284"/>
              <w:jc w:val="left"/>
              <w:rPr>
                <w:b/>
                <w:color w:val="808080" w:themeColor="background1" w:themeShade="80"/>
              </w:rPr>
            </w:pPr>
            <w:r w:rsidRPr="00CC1B1F">
              <w:rPr>
                <w:b/>
                <w:color w:val="808080" w:themeColor="background1" w:themeShade="80"/>
              </w:rPr>
              <w:t>Les poches endoblastiques</w:t>
            </w:r>
          </w:p>
          <w:p w:rsidR="00CC1B1F" w:rsidRDefault="00CC1B1F" w:rsidP="003B664F">
            <w:pPr>
              <w:numPr>
                <w:ilvl w:val="0"/>
                <w:numId w:val="13"/>
              </w:numPr>
              <w:tabs>
                <w:tab w:val="clear" w:pos="360"/>
                <w:tab w:val="num" w:pos="567"/>
              </w:tabs>
              <w:ind w:left="283" w:hanging="283"/>
              <w:jc w:val="center"/>
            </w:pPr>
            <w:r>
              <w:t>de formations lymphoïdes,</w:t>
            </w:r>
          </w:p>
          <w:p w:rsidR="00CC1B1F" w:rsidRDefault="00CC1B1F" w:rsidP="003B664F">
            <w:pPr>
              <w:numPr>
                <w:ilvl w:val="0"/>
                <w:numId w:val="13"/>
              </w:numPr>
              <w:tabs>
                <w:tab w:val="clear" w:pos="360"/>
                <w:tab w:val="num" w:pos="567"/>
              </w:tabs>
              <w:ind w:left="283" w:hanging="283"/>
              <w:jc w:val="center"/>
            </w:pPr>
            <w:r>
              <w:t>de glandes endocrines.</w:t>
            </w:r>
          </w:p>
          <w:p w:rsidR="00CC1B1F" w:rsidRDefault="00CC1B1F" w:rsidP="00CC1B1F">
            <w:pPr>
              <w:jc w:val="center"/>
            </w:pPr>
          </w:p>
        </w:tc>
        <w:tc>
          <w:tcPr>
            <w:tcW w:w="3071" w:type="dxa"/>
            <w:vAlign w:val="center"/>
          </w:tcPr>
          <w:p w:rsidR="00CC1B1F" w:rsidRDefault="00CC1B1F" w:rsidP="00CC1B1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58315" cy="2177415"/>
                  <wp:effectExtent l="19050" t="19050" r="13335" b="13335"/>
                  <wp:docPr id="107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l="35594" t="6667" r="33858" b="3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315" cy="2177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vAlign w:val="center"/>
          </w:tcPr>
          <w:p w:rsidR="00CC1B1F" w:rsidRPr="00CC1B1F" w:rsidRDefault="00CC1B1F" w:rsidP="00CC1B1F">
            <w:pPr>
              <w:tabs>
                <w:tab w:val="left" w:pos="284"/>
              </w:tabs>
              <w:rPr>
                <w:b/>
                <w:color w:val="403152" w:themeColor="accent4" w:themeShade="80"/>
              </w:rPr>
            </w:pPr>
            <w:r w:rsidRPr="00CC1B1F">
              <w:rPr>
                <w:b/>
                <w:color w:val="403152" w:themeColor="accent4" w:themeShade="80"/>
              </w:rPr>
              <w:t>Les poches ectoblastiques</w:t>
            </w:r>
          </w:p>
          <w:p w:rsidR="00CC1B1F" w:rsidRDefault="00CC1B1F" w:rsidP="003B664F">
            <w:pPr>
              <w:numPr>
                <w:ilvl w:val="0"/>
                <w:numId w:val="14"/>
              </w:numPr>
              <w:tabs>
                <w:tab w:val="clear" w:pos="360"/>
                <w:tab w:val="num" w:pos="567"/>
              </w:tabs>
              <w:ind w:left="283" w:hanging="283"/>
              <w:jc w:val="center"/>
            </w:pPr>
            <w:r>
              <w:t>le conduit auditif externe,</w:t>
            </w:r>
          </w:p>
          <w:p w:rsidR="00CC1B1F" w:rsidRDefault="00CC1B1F" w:rsidP="003B664F">
            <w:pPr>
              <w:numPr>
                <w:ilvl w:val="0"/>
                <w:numId w:val="15"/>
              </w:numPr>
              <w:tabs>
                <w:tab w:val="clear" w:pos="360"/>
                <w:tab w:val="num" w:pos="567"/>
              </w:tabs>
              <w:ind w:left="283" w:hanging="283"/>
              <w:jc w:val="center"/>
            </w:pPr>
            <w:r>
              <w:t>le sinus cervical.</w:t>
            </w:r>
          </w:p>
          <w:p w:rsidR="00CC1B1F" w:rsidRDefault="00CC1B1F" w:rsidP="00CC1B1F">
            <w:pPr>
              <w:jc w:val="center"/>
            </w:pPr>
          </w:p>
        </w:tc>
      </w:tr>
      <w:tr w:rsidR="00CC1B1F" w:rsidTr="00CC1B1F">
        <w:trPr>
          <w:gridBefore w:val="1"/>
          <w:wBefore w:w="1416" w:type="dxa"/>
        </w:trPr>
        <w:tc>
          <w:tcPr>
            <w:tcW w:w="9212" w:type="dxa"/>
            <w:gridSpan w:val="4"/>
            <w:vAlign w:val="center"/>
          </w:tcPr>
          <w:p w:rsidR="00CC1B1F" w:rsidRPr="00CC1B1F" w:rsidRDefault="00CC1B1F" w:rsidP="00CC1B1F">
            <w:pPr>
              <w:rPr>
                <w:b/>
                <w:color w:val="D99594" w:themeColor="accent2" w:themeTint="99"/>
              </w:rPr>
            </w:pPr>
            <w:r w:rsidRPr="00CC1B1F">
              <w:rPr>
                <w:b/>
                <w:color w:val="D99594" w:themeColor="accent2" w:themeTint="99"/>
              </w:rPr>
              <w:t>Les dérivés du mésoblaste :</w:t>
            </w:r>
          </w:p>
          <w:p w:rsidR="00CC1B1F" w:rsidRDefault="00CC1B1F" w:rsidP="003B664F">
            <w:pPr>
              <w:numPr>
                <w:ilvl w:val="0"/>
                <w:numId w:val="16"/>
              </w:numPr>
              <w:tabs>
                <w:tab w:val="clear" w:pos="360"/>
                <w:tab w:val="left" w:pos="567"/>
              </w:tabs>
              <w:ind w:left="1274" w:hanging="283"/>
              <w:jc w:val="left"/>
            </w:pPr>
            <w:r>
              <w:t>participent ultérieurement à la formation du squelette de la face et du larynx;</w:t>
            </w:r>
          </w:p>
          <w:p w:rsidR="00CC1B1F" w:rsidRPr="00CC1B1F" w:rsidRDefault="00CC1B1F" w:rsidP="003B664F">
            <w:pPr>
              <w:numPr>
                <w:ilvl w:val="0"/>
                <w:numId w:val="16"/>
              </w:numPr>
              <w:tabs>
                <w:tab w:val="clear" w:pos="360"/>
                <w:tab w:val="left" w:pos="567"/>
              </w:tabs>
              <w:ind w:left="1274" w:hanging="283"/>
              <w:jc w:val="left"/>
            </w:pPr>
            <w:r w:rsidRPr="00CC1B1F">
              <w:t>seront à l'origine des muscles de la tête et du cou.</w:t>
            </w:r>
          </w:p>
        </w:tc>
      </w:tr>
    </w:tbl>
    <w:p w:rsidR="005C2119" w:rsidRDefault="005C2119" w:rsidP="00BC4EC2"/>
    <w:p w:rsidR="005C2119" w:rsidRDefault="005C2119" w:rsidP="00BC4EC2"/>
    <w:p w:rsidR="00D81B93" w:rsidRDefault="00BC4EC2" w:rsidP="003B664F">
      <w:pPr>
        <w:pStyle w:val="Titre3"/>
        <w:numPr>
          <w:ilvl w:val="0"/>
          <w:numId w:val="30"/>
        </w:numPr>
        <w:spacing w:before="0"/>
        <w:rPr>
          <w:rFonts w:ascii="Times New Roman" w:hAnsi="Times New Roman" w:cs="Times New Roman"/>
          <w:snapToGrid w:val="0"/>
          <w:u w:val="single"/>
        </w:rPr>
      </w:pPr>
      <w:r w:rsidRPr="00527B36">
        <w:rPr>
          <w:rFonts w:ascii="Times New Roman" w:hAnsi="Times New Roman" w:cs="Times New Roman"/>
          <w:snapToGrid w:val="0"/>
          <w:u w:val="single"/>
        </w:rPr>
        <w:t xml:space="preserve"> </w:t>
      </w:r>
      <w:r w:rsidR="00D81B93" w:rsidRPr="00527B36">
        <w:rPr>
          <w:rFonts w:ascii="Times New Roman" w:hAnsi="Times New Roman" w:cs="Times New Roman"/>
          <w:snapToGrid w:val="0"/>
          <w:u w:val="single"/>
        </w:rPr>
        <w:t>Evolution du mésenchyme</w:t>
      </w:r>
    </w:p>
    <w:p w:rsidR="00CC1B1F" w:rsidRPr="00CC1B1F" w:rsidRDefault="000F1FBB" w:rsidP="00CC1B1F"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4148455</wp:posOffset>
            </wp:positionH>
            <wp:positionV relativeFrom="margin">
              <wp:posOffset>4373245</wp:posOffset>
            </wp:positionV>
            <wp:extent cx="1724660" cy="1625600"/>
            <wp:effectExtent l="19050" t="0" r="8890" b="0"/>
            <wp:wrapSquare wrapText="bothSides"/>
            <wp:docPr id="114" name="Image 16" descr="3AB2E4B5-D2D0-4B17-B5AA-9F433CC8A16D-L0-0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3AB2E4B5-D2D0-4B17-B5AA-9F433CC8A16D-L0-001.png" descr="3AB2E4B5-D2D0-4B17-B5AA-9F433CC8A16D-L0-001.png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lum bright="-10000" contrast="20000"/>
                      <a:extLst/>
                    </a:blip>
                    <a:srcRect l="18766" t="21858" r="32080" b="38056"/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16256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</w:p>
    <w:p w:rsidR="005C2119" w:rsidRDefault="00CC1B1F" w:rsidP="00D81B93">
      <w:pPr>
        <w:rPr>
          <w:noProof/>
        </w:rPr>
      </w:pPr>
      <w:r>
        <w:t xml:space="preserve">        </w:t>
      </w:r>
      <w:r w:rsidR="00D81B93">
        <w:t xml:space="preserve">Pendant la quatrième semaine, l'ensemble du mésenchyme extra-embryonnaire et du </w:t>
      </w:r>
      <w:r w:rsidR="00050F8B">
        <w:t>mésenchyme intra</w:t>
      </w:r>
      <w:r w:rsidR="00D81B93">
        <w:t xml:space="preserve">-embryonnaire (tissu de remplissage provenant de la ligne primitive, comme le mésoblaste) est le siège de la </w:t>
      </w:r>
      <w:r w:rsidR="00D81B93">
        <w:rPr>
          <w:b/>
        </w:rPr>
        <w:t>formation des ébauches vasculaires</w:t>
      </w:r>
      <w:r w:rsidR="000F1FBB">
        <w:t>.</w:t>
      </w:r>
    </w:p>
    <w:p w:rsidR="000F1FBB" w:rsidRPr="000F1FBB" w:rsidRDefault="000F1FBB" w:rsidP="000F1FBB">
      <w:pPr>
        <w:rPr>
          <w:i/>
          <w:sz w:val="22"/>
        </w:rPr>
      </w:pPr>
      <w:r w:rsidRPr="000F1FBB">
        <w:rPr>
          <w:b/>
          <w:i/>
          <w:sz w:val="22"/>
        </w:rPr>
        <w:t>Remarques</w:t>
      </w:r>
      <w:r>
        <w:rPr>
          <w:i/>
          <w:sz w:val="22"/>
        </w:rPr>
        <w:t xml:space="preserve"> : Toutes ces ébauches vasculaires vont entrer en communication et être à l'origine de la </w:t>
      </w:r>
      <w:r>
        <w:rPr>
          <w:b/>
          <w:i/>
          <w:sz w:val="22"/>
        </w:rPr>
        <w:t>circulation intra- et extra- embryonnaire</w:t>
      </w:r>
      <w:r>
        <w:rPr>
          <w:i/>
        </w:rPr>
        <w:t>.</w:t>
      </w:r>
    </w:p>
    <w:p w:rsidR="000F1FBB" w:rsidRDefault="000F1FBB" w:rsidP="000F1FBB"/>
    <w:p w:rsidR="00F243DE" w:rsidRDefault="00F243DE" w:rsidP="000F1FB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13"/>
        <w:gridCol w:w="2775"/>
      </w:tblGrid>
      <w:tr w:rsidR="000F1FBB" w:rsidTr="005C2119">
        <w:tc>
          <w:tcPr>
            <w:tcW w:w="6513" w:type="dxa"/>
          </w:tcPr>
          <w:p w:rsidR="005C2119" w:rsidRPr="005C2119" w:rsidRDefault="005C2119" w:rsidP="000F1FBB">
            <w:pPr>
              <w:pStyle w:val="Titre4"/>
              <w:spacing w:before="0"/>
              <w:outlineLvl w:val="3"/>
              <w:rPr>
                <w:rFonts w:ascii="Times New Roman" w:hAnsi="Times New Roman" w:cs="Times New Roman"/>
                <w:color w:val="000000" w:themeColor="text1"/>
                <w:u w:val="single"/>
              </w:rPr>
            </w:pPr>
            <w:r w:rsidRPr="005C2119">
              <w:rPr>
                <w:rFonts w:ascii="Times New Roman" w:hAnsi="Times New Roman" w:cs="Times New Roman"/>
                <w:color w:val="000000" w:themeColor="text1"/>
                <w:u w:val="single"/>
              </w:rPr>
              <w:t>1) Au niveau des villosités choriales, du mésenchyme extra-embryonnaire de la sphère choriale et du pédicule embryonnaire</w:t>
            </w:r>
          </w:p>
          <w:p w:rsidR="005C2119" w:rsidRPr="005C2119" w:rsidRDefault="000F1FBB" w:rsidP="000F1FBB">
            <w:r>
              <w:t xml:space="preserve">      </w:t>
            </w:r>
            <w:r w:rsidR="005C2119" w:rsidRPr="005C2119">
              <w:t xml:space="preserve">Les ébauches apparues dès la fin de la troisième semaine deviennent confluentes et sont  drainées par des troncs vasculaires, les </w:t>
            </w:r>
            <w:r w:rsidR="005C2119" w:rsidRPr="005C2119">
              <w:rPr>
                <w:b/>
              </w:rPr>
              <w:t>vaisseaux ombilicaux</w:t>
            </w:r>
            <w:r w:rsidR="005C2119" w:rsidRPr="005C2119">
              <w:t xml:space="preserve">, passant par le cordon ombilical </w:t>
            </w:r>
            <w:r w:rsidR="005C2119" w:rsidRPr="005C2119">
              <w:rPr>
                <w:b/>
              </w:rPr>
              <w:t>pour rejoindre les vaisseaux qui se constituent dans le mésenchyme intra-embryonnaire</w:t>
            </w:r>
            <w:r w:rsidR="005C2119" w:rsidRPr="005C2119">
              <w:t xml:space="preserve"> (selon un processus analogue et dès le début du stade somitique) et qui forment le </w:t>
            </w:r>
            <w:r w:rsidR="005C2119" w:rsidRPr="005C2119">
              <w:rPr>
                <w:b/>
              </w:rPr>
              <w:t>réseau vasculaire intra-embryonnaire</w:t>
            </w:r>
            <w:r w:rsidR="005C2119" w:rsidRPr="005C2119">
              <w:t>.</w:t>
            </w:r>
          </w:p>
        </w:tc>
        <w:tc>
          <w:tcPr>
            <w:tcW w:w="2775" w:type="dxa"/>
          </w:tcPr>
          <w:p w:rsidR="005C2119" w:rsidRPr="005C2119" w:rsidRDefault="005C2119" w:rsidP="000F1FBB">
            <w:pPr>
              <w:pStyle w:val="Titre4"/>
              <w:spacing w:before="0"/>
              <w:outlineLvl w:val="3"/>
              <w:rPr>
                <w:rFonts w:ascii="Times New Roman" w:hAnsi="Times New Roman" w:cs="Times New Roman"/>
                <w:color w:val="000000" w:themeColor="text1"/>
              </w:rPr>
            </w:pPr>
            <w:r w:rsidRPr="005C2119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>
                  <wp:extent cx="1455420" cy="1411605"/>
                  <wp:effectExtent l="19050" t="0" r="0" b="0"/>
                  <wp:docPr id="112" name="Image 17" descr="DDD7DCF9-52BE-4A93-B0C8-D9C24BEADA50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DDD7DCF9-52BE-4A93-B0C8-D9C24BEADA50-L0-001.png" descr="DDD7DCF9-52BE-4A93-B0C8-D9C24BEADA50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lum bright="-10000" contrast="20000"/>
                            <a:extLst/>
                          </a:blip>
                          <a:srcRect l="17717" t="15961" r="33443" b="45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421" cy="1407726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BB" w:rsidRDefault="000F1FBB" w:rsidP="000F1FB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13"/>
        <w:gridCol w:w="2775"/>
      </w:tblGrid>
      <w:tr w:rsidR="000F1FBB" w:rsidTr="00910BB9">
        <w:tc>
          <w:tcPr>
            <w:tcW w:w="6513" w:type="dxa"/>
          </w:tcPr>
          <w:p w:rsidR="000F1FBB" w:rsidRPr="005C2119" w:rsidRDefault="000F1FBB" w:rsidP="00910BB9">
            <w:pPr>
              <w:pStyle w:val="Titre4"/>
              <w:spacing w:before="0"/>
              <w:outlineLvl w:val="3"/>
              <w:rPr>
                <w:rFonts w:ascii="Times New Roman" w:hAnsi="Times New Roman" w:cs="Times New Roman"/>
                <w:color w:val="000000" w:themeColor="text1"/>
                <w:u w:val="single"/>
              </w:rPr>
            </w:pPr>
            <w:r w:rsidRPr="005C2119">
              <w:rPr>
                <w:rFonts w:ascii="Times New Roman" w:hAnsi="Times New Roman" w:cs="Times New Roman"/>
                <w:color w:val="000000" w:themeColor="text1"/>
                <w:u w:val="single"/>
              </w:rPr>
              <w:lastRenderedPageBreak/>
              <w:t>2) Autour de la vésicule vitelline</w:t>
            </w:r>
          </w:p>
          <w:p w:rsidR="000F1FBB" w:rsidRPr="005C2119" w:rsidRDefault="000F1FBB" w:rsidP="00910BB9">
            <w:r>
              <w:t xml:space="preserve">     </w:t>
            </w:r>
            <w:r w:rsidRPr="005C2119">
              <w:t xml:space="preserve">Il se forme un second réseau : le </w:t>
            </w:r>
            <w:r w:rsidRPr="005C2119">
              <w:rPr>
                <w:b/>
              </w:rPr>
              <w:t>réseau vasculaire vitellin</w:t>
            </w:r>
            <w:r w:rsidRPr="005C2119">
              <w:t xml:space="preserve"> qui se draine par deux gros troncs : les </w:t>
            </w:r>
            <w:r w:rsidRPr="005C2119">
              <w:rPr>
                <w:b/>
              </w:rPr>
              <w:t>vaisseaux vitellins</w:t>
            </w:r>
            <w:r w:rsidRPr="005C2119">
              <w:t xml:space="preserve"> qui passent également par le cordon ombilical.</w:t>
            </w:r>
          </w:p>
          <w:p w:rsidR="000F1FBB" w:rsidRPr="005C2119" w:rsidRDefault="000F1FBB" w:rsidP="00910BB9">
            <w:pPr>
              <w:pStyle w:val="Titre4"/>
              <w:spacing w:before="0"/>
              <w:outlineLvl w:val="3"/>
              <w:rPr>
                <w:rFonts w:ascii="Times New Roman" w:hAnsi="Times New Roman" w:cs="Times New Roman"/>
                <w:color w:val="000000" w:themeColor="text1"/>
                <w:u w:val="single"/>
              </w:rPr>
            </w:pPr>
          </w:p>
        </w:tc>
        <w:tc>
          <w:tcPr>
            <w:tcW w:w="2775" w:type="dxa"/>
          </w:tcPr>
          <w:p w:rsidR="000F1FBB" w:rsidRPr="005C2119" w:rsidRDefault="000F1FBB" w:rsidP="00910BB9">
            <w:pPr>
              <w:pStyle w:val="Titre4"/>
              <w:spacing w:before="0"/>
              <w:outlineLvl w:val="3"/>
              <w:rPr>
                <w:rFonts w:ascii="Times New Roman" w:hAnsi="Times New Roman" w:cs="Times New Roman"/>
                <w:color w:val="000000" w:themeColor="text1"/>
              </w:rPr>
            </w:pPr>
            <w:r w:rsidRPr="005C2119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>
                  <wp:extent cx="1535430" cy="1537335"/>
                  <wp:effectExtent l="19050" t="0" r="7620" b="0"/>
                  <wp:docPr id="119" name="Image 19" descr="87A4FE88-68D8-4BB7-9332-8DCA734DC824-L0-0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87A4FE88-68D8-4BB7-9332-8DCA734DC824-L0-001.png" descr="87A4FE88-68D8-4BB7-9332-8DCA734DC824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lum bright="-10000" contrast="20000"/>
                            <a:extLst/>
                          </a:blip>
                          <a:srcRect l="17298" t="13131" r="30508" b="44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88" cy="1537994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2119" w:rsidRPr="00527B36" w:rsidRDefault="005C2119" w:rsidP="005C2119">
      <w:pPr>
        <w:pStyle w:val="Titre4"/>
        <w:rPr>
          <w:rFonts w:ascii="Times New Roman" w:hAnsi="Times New Roman" w:cs="Times New Roman"/>
          <w:color w:val="000000" w:themeColor="text1"/>
          <w:u w:val="single"/>
        </w:rPr>
      </w:pPr>
      <w:r w:rsidRPr="00527B36">
        <w:rPr>
          <w:rFonts w:ascii="Times New Roman" w:hAnsi="Times New Roman" w:cs="Times New Roman"/>
          <w:color w:val="000000" w:themeColor="text1"/>
          <w:u w:val="single"/>
        </w:rPr>
        <w:t>3) Au niveau du mésenchyme intra-embryonnaire</w:t>
      </w:r>
    </w:p>
    <w:p w:rsidR="000F1FBB" w:rsidRDefault="000F1FBB" w:rsidP="000F1FBB">
      <w:pPr>
        <w:rPr>
          <w:sz w:val="22"/>
          <w:szCs w:val="22"/>
        </w:rPr>
      </w:pPr>
      <w:r>
        <w:t xml:space="preserve">            </w:t>
      </w:r>
      <w:r w:rsidR="005C2119">
        <w:t xml:space="preserve">Outre les </w:t>
      </w:r>
      <w:r w:rsidR="005C2119" w:rsidRPr="005C2119">
        <w:t>arcs aortiques</w:t>
      </w:r>
      <w:r w:rsidR="005C2119">
        <w:t xml:space="preserve">, les premiers troncs bien individualisés sont les </w:t>
      </w:r>
      <w:r w:rsidR="005C2119" w:rsidRPr="005C2119">
        <w:t>aortes primitives droite et gauche</w:t>
      </w:r>
      <w:r w:rsidR="005C2119">
        <w:t xml:space="preserve">. </w:t>
      </w:r>
      <w:r w:rsidR="00050F8B" w:rsidRPr="005C2119">
        <w:rPr>
          <w:sz w:val="22"/>
          <w:szCs w:val="22"/>
        </w:rPr>
        <w:t>Dont</w:t>
      </w:r>
      <w:r w:rsidR="005C2119" w:rsidRPr="005C2119">
        <w:rPr>
          <w:sz w:val="22"/>
          <w:szCs w:val="22"/>
        </w:rPr>
        <w:t xml:space="preserve"> les parties caudales fusionnent sur la ligne médiane et dont les parties céphaliques s'infléchissent sur la face ventrale pour entrer en connexion avec l'</w:t>
      </w:r>
      <w:r w:rsidR="00975856" w:rsidRPr="005C2119">
        <w:rPr>
          <w:sz w:val="22"/>
          <w:szCs w:val="22"/>
        </w:rPr>
        <w:t>extrémité</w:t>
      </w:r>
      <w:r w:rsidR="005C2119" w:rsidRPr="005C2119">
        <w:rPr>
          <w:sz w:val="22"/>
          <w:szCs w:val="22"/>
        </w:rPr>
        <w:t xml:space="preserve"> céphalique du tube cardiaque</w:t>
      </w:r>
    </w:p>
    <w:p w:rsidR="00D81B93" w:rsidRPr="000F1FBB" w:rsidRDefault="005C2119" w:rsidP="000F1FBB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4553940" cy="1689811"/>
            <wp:effectExtent l="19050" t="0" r="0" b="0"/>
            <wp:docPr id="11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10083" t="53049" r="1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940" cy="168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119" w:rsidRDefault="005C2119" w:rsidP="005C2119">
      <w:pPr>
        <w:pStyle w:val="Titre4"/>
        <w:rPr>
          <w:rFonts w:ascii="Times New Roman" w:hAnsi="Times New Roman" w:cs="Times New Roman"/>
          <w:color w:val="000000" w:themeColor="text1"/>
          <w:u w:val="single"/>
        </w:rPr>
      </w:pPr>
      <w:r w:rsidRPr="00527B36">
        <w:rPr>
          <w:rFonts w:ascii="Times New Roman" w:hAnsi="Times New Roman" w:cs="Times New Roman"/>
          <w:color w:val="000000" w:themeColor="text1"/>
          <w:u w:val="single"/>
        </w:rPr>
        <w:t>4) En avant de la membrane pharyngienne</w:t>
      </w:r>
    </w:p>
    <w:p w:rsidR="000F1FBB" w:rsidRPr="000F1FBB" w:rsidRDefault="000F1FBB" w:rsidP="000F1FBB"/>
    <w:p w:rsidR="0090050E" w:rsidRDefault="000F1FBB" w:rsidP="00D81B93">
      <w:r>
        <w:t xml:space="preserve">        </w:t>
      </w:r>
      <w:r w:rsidR="005C2119">
        <w:t xml:space="preserve">La </w:t>
      </w:r>
      <w:r w:rsidR="005C2119">
        <w:rPr>
          <w:b/>
        </w:rPr>
        <w:t>zone cardiogène</w:t>
      </w:r>
      <w:r w:rsidR="005C2119">
        <w:t xml:space="preserve"> est également le siège de la formation d'ébauches vasculaires sous la forme de deux tubes, les </w:t>
      </w:r>
      <w:r w:rsidR="005C2119">
        <w:rPr>
          <w:b/>
        </w:rPr>
        <w:t>tubes endocardiques</w:t>
      </w:r>
      <w:r w:rsidR="005C2119">
        <w:t xml:space="preserve"> qui vont se rapprocher pour fusionner sur la ligne médiane, constituant ainsi </w:t>
      </w:r>
      <w:r w:rsidR="00975856">
        <w:t>un tube</w:t>
      </w:r>
      <w:r w:rsidR="005C2119">
        <w:rPr>
          <w:b/>
        </w:rPr>
        <w:t xml:space="preserve"> cardiaque</w:t>
      </w:r>
      <w:r w:rsidR="005C2119">
        <w:t xml:space="preserve"> impair entouré par une zone dense splanchnopleurale, elle-même circonscrite par le cœlome intra-embryonnaire (</w:t>
      </w:r>
      <w:r w:rsidR="005C2119">
        <w:rPr>
          <w:b/>
        </w:rPr>
        <w:t>future cavité péricardique</w:t>
      </w:r>
      <w:r w:rsidR="005C2119">
        <w:t xml:space="preserve">). </w:t>
      </w:r>
    </w:p>
    <w:p w:rsidR="000F1FBB" w:rsidRDefault="000F1FBB" w:rsidP="00D81B93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0F1FBB" w:rsidTr="000F1FBB">
        <w:tc>
          <w:tcPr>
            <w:tcW w:w="4606" w:type="dxa"/>
          </w:tcPr>
          <w:p w:rsidR="000F1FBB" w:rsidRDefault="000F1FBB" w:rsidP="000F1FBB">
            <w:pPr>
              <w:jc w:val="center"/>
            </w:pPr>
            <w:r>
              <w:rPr>
                <w:b/>
              </w:rPr>
              <w:t>tubes endocardiques</w:t>
            </w:r>
          </w:p>
        </w:tc>
        <w:tc>
          <w:tcPr>
            <w:tcW w:w="4606" w:type="dxa"/>
          </w:tcPr>
          <w:p w:rsidR="000F1FBB" w:rsidRDefault="000F1FBB" w:rsidP="000F1FBB">
            <w:pPr>
              <w:jc w:val="center"/>
            </w:pPr>
            <w:r>
              <w:rPr>
                <w:b/>
              </w:rPr>
              <w:t>tube cardiaque</w:t>
            </w:r>
          </w:p>
        </w:tc>
      </w:tr>
      <w:tr w:rsidR="000F1FBB" w:rsidTr="000F1FBB">
        <w:tc>
          <w:tcPr>
            <w:tcW w:w="4606" w:type="dxa"/>
          </w:tcPr>
          <w:p w:rsidR="000F1FBB" w:rsidRDefault="000F1FBB" w:rsidP="000F1FBB">
            <w:pPr>
              <w:jc w:val="center"/>
            </w:pPr>
            <w:r w:rsidRPr="000F1FBB">
              <w:rPr>
                <w:noProof/>
              </w:rPr>
              <w:drawing>
                <wp:inline distT="0" distB="0" distL="0" distR="0">
                  <wp:extent cx="2379417" cy="1102995"/>
                  <wp:effectExtent l="19050" t="0" r="1833" b="0"/>
                  <wp:docPr id="11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9295" t="72540" r="56686" b="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417" cy="1102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0F1FBB" w:rsidRDefault="000F1FBB" w:rsidP="000F1FBB">
            <w:pPr>
              <w:jc w:val="center"/>
            </w:pPr>
            <w:r w:rsidRPr="000F1FBB">
              <w:rPr>
                <w:noProof/>
              </w:rPr>
              <w:drawing>
                <wp:inline distT="0" distB="0" distL="0" distR="0">
                  <wp:extent cx="2320752" cy="1102995"/>
                  <wp:effectExtent l="19050" t="0" r="3348" b="0"/>
                  <wp:docPr id="117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51951" t="72540" r="119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879" cy="1104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BB" w:rsidRDefault="000F1FBB" w:rsidP="00D81B93">
      <w:pPr>
        <w:pStyle w:val="Titre2"/>
      </w:pPr>
    </w:p>
    <w:p w:rsidR="00D81B93" w:rsidRDefault="000F1FBB" w:rsidP="000F1FBB">
      <w:r>
        <w:t xml:space="preserve">      Les premiers battements cardiaques apparaissent vers J23.</w:t>
      </w:r>
    </w:p>
    <w:p w:rsidR="000F1FBB" w:rsidRDefault="000F1FBB" w:rsidP="00D81B93">
      <w:pPr>
        <w:pStyle w:val="Titre2"/>
      </w:pPr>
      <w:bookmarkStart w:id="5" w:name="_Toc416590405"/>
    </w:p>
    <w:p w:rsidR="00D81B93" w:rsidRDefault="00D81B93" w:rsidP="00D81B93">
      <w:pPr>
        <w:pStyle w:val="Titre2"/>
      </w:pPr>
      <w:r>
        <w:t>IV. Conclusion</w:t>
      </w:r>
      <w:bookmarkEnd w:id="5"/>
    </w:p>
    <w:p w:rsidR="00D81B93" w:rsidRDefault="000F1FBB" w:rsidP="00D81B93">
      <w:r>
        <w:t xml:space="preserve">       </w:t>
      </w:r>
      <w:r w:rsidR="00D81B93">
        <w:t>En résumé, la quatrième semaine marque une étape importante de l'embryogenèse. L'embryon est désormais délimité et prend sa forme définitive tandis que toutes les ébauches des organes sont constituées.</w:t>
      </w:r>
    </w:p>
    <w:p w:rsidR="00D81B93" w:rsidRDefault="00D81B93" w:rsidP="00D81B93">
      <w:r>
        <w:t xml:space="preserve">Période essentielle dans la formation initiale des principaux organes, la quatrième semaine est une phase très critique du point de vue tératologique.  </w:t>
      </w:r>
    </w:p>
    <w:p w:rsidR="00D81B93" w:rsidRDefault="00D7314F" w:rsidP="000F1FBB">
      <w:pPr>
        <w:tabs>
          <w:tab w:val="left" w:pos="1701"/>
        </w:tabs>
        <w:ind w:left="1701"/>
        <w:rPr>
          <w:rFonts w:ascii="Courier New" w:hAnsi="Courier New"/>
          <w:snapToGrid w:val="0"/>
          <w:bdr w:val="single" w:sz="4" w:space="0" w:color="auto"/>
        </w:rPr>
      </w:pPr>
      <w:r>
        <w:rPr>
          <w:rFonts w:ascii="Arial" w:hAnsi="Arial"/>
          <w:caps/>
          <w:noProof/>
          <w:sz w:val="28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left:0;text-align:left;margin-left:-351.5pt;margin-top:347.25pt;width:724.5pt;height:36.75pt;rotation:90;z-index:251706368" adj="10876,5400" fillcolor="black">
            <v:shadow color="#868686"/>
            <v:textpath style="font-family:&quot;Arial&quot;;font-size:32pt;v-rotate-letters:t;v-text-kern:t" trim="t" fitpath="t" string="T E S T E Z    V O S     C O N N A I S S A N C E S"/>
          </v:shape>
        </w:pict>
      </w:r>
    </w:p>
    <w:p w:rsidR="00D81B93" w:rsidRDefault="00D81B93" w:rsidP="00D81B93">
      <w:pPr>
        <w:tabs>
          <w:tab w:val="left" w:pos="1701"/>
        </w:tabs>
        <w:ind w:left="1701"/>
        <w:rPr>
          <w:rFonts w:ascii="Courier New" w:hAnsi="Courier New"/>
          <w:snapToGrid w:val="0"/>
          <w:sz w:val="36"/>
          <w:bdr w:val="single" w:sz="4" w:space="0" w:color="auto"/>
        </w:rPr>
      </w:pPr>
      <w:r>
        <w:rPr>
          <w:rFonts w:ascii="Courier New" w:hAnsi="Courier New"/>
          <w:b/>
          <w:snapToGrid w:val="0"/>
          <w:sz w:val="36"/>
          <w:bdr w:val="single" w:sz="4" w:space="0" w:color="auto"/>
        </w:rPr>
        <w:t>Q</w:t>
      </w:r>
      <w:r>
        <w:rPr>
          <w:rFonts w:ascii="Courier New" w:hAnsi="Courier New"/>
          <w:snapToGrid w:val="0"/>
          <w:sz w:val="36"/>
          <w:bdr w:val="single" w:sz="4" w:space="0" w:color="auto"/>
        </w:rPr>
        <w:t xml:space="preserve">uestions à </w:t>
      </w:r>
      <w:r>
        <w:rPr>
          <w:rFonts w:ascii="Courier New" w:hAnsi="Courier New"/>
          <w:b/>
          <w:snapToGrid w:val="0"/>
          <w:sz w:val="36"/>
          <w:bdr w:val="single" w:sz="4" w:space="0" w:color="auto"/>
        </w:rPr>
        <w:t>R</w:t>
      </w:r>
      <w:r>
        <w:rPr>
          <w:rFonts w:ascii="Courier New" w:hAnsi="Courier New"/>
          <w:snapToGrid w:val="0"/>
          <w:sz w:val="36"/>
          <w:bdr w:val="single" w:sz="4" w:space="0" w:color="auto"/>
        </w:rPr>
        <w:t xml:space="preserve">éponse </w:t>
      </w:r>
      <w:r>
        <w:rPr>
          <w:rFonts w:ascii="Courier New" w:hAnsi="Courier New"/>
          <w:b/>
          <w:snapToGrid w:val="0"/>
          <w:sz w:val="36"/>
          <w:bdr w:val="single" w:sz="4" w:space="0" w:color="auto"/>
        </w:rPr>
        <w:t>O</w:t>
      </w:r>
      <w:r>
        <w:rPr>
          <w:rFonts w:ascii="Courier New" w:hAnsi="Courier New"/>
          <w:snapToGrid w:val="0"/>
          <w:sz w:val="36"/>
          <w:bdr w:val="single" w:sz="4" w:space="0" w:color="auto"/>
        </w:rPr>
        <w:t xml:space="preserve">uverte </w:t>
      </w:r>
      <w:r>
        <w:rPr>
          <w:rFonts w:ascii="Courier New" w:hAnsi="Courier New"/>
          <w:b/>
          <w:snapToGrid w:val="0"/>
          <w:sz w:val="36"/>
          <w:bdr w:val="single" w:sz="4" w:space="0" w:color="auto"/>
        </w:rPr>
        <w:t>C</w:t>
      </w:r>
      <w:r>
        <w:rPr>
          <w:rFonts w:ascii="Courier New" w:hAnsi="Courier New"/>
          <w:snapToGrid w:val="0"/>
          <w:sz w:val="36"/>
          <w:bdr w:val="single" w:sz="4" w:space="0" w:color="auto"/>
        </w:rPr>
        <w:t>ourte</w:t>
      </w:r>
    </w:p>
    <w:p w:rsidR="00D81B93" w:rsidRDefault="00D81B93" w:rsidP="00D81B93">
      <w:pPr>
        <w:tabs>
          <w:tab w:val="left" w:pos="1701"/>
        </w:tabs>
        <w:rPr>
          <w:snapToGrid w:val="0"/>
          <w:bdr w:val="single" w:sz="4" w:space="0" w:color="auto"/>
        </w:rPr>
      </w:pPr>
      <w:r>
        <w:rPr>
          <w:snapToGrid w:val="0"/>
        </w:rPr>
        <w:tab/>
      </w:r>
    </w:p>
    <w:p w:rsidR="00D81B93" w:rsidRDefault="00D81B93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>Expliquez les deux phénomènes essentiels que l'on observe au cours de la quatrième semaine du développement embryonnaire.</w:t>
      </w:r>
    </w:p>
    <w:p w:rsidR="00D81B93" w:rsidRDefault="00D81B93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>Décrire brièvement la délimitation de l'em</w:t>
      </w:r>
      <w:r w:rsidR="00281C15">
        <w:rPr>
          <w:snapToGrid w:val="0"/>
        </w:rPr>
        <w:t>bryon dans le sens transversal</w:t>
      </w:r>
    </w:p>
    <w:p w:rsidR="00D81B93" w:rsidRDefault="00D81B93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>Donnez les trois conséquences fondamentales de la délimitation de l'embryon.</w:t>
      </w:r>
    </w:p>
    <w:p w:rsidR="00D81B93" w:rsidRDefault="00D81B93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>Citez les éléments ectoblastiques caractérisant la quatrième semaine du développement embryonnaire.</w:t>
      </w:r>
    </w:p>
    <w:p w:rsidR="00D81B93" w:rsidRDefault="00281C15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 xml:space="preserve">Le devenir des </w:t>
      </w:r>
      <w:r w:rsidR="007668F8">
        <w:rPr>
          <w:snapToGrid w:val="0"/>
        </w:rPr>
        <w:t>somites ?</w:t>
      </w:r>
    </w:p>
    <w:p w:rsidR="00281C15" w:rsidRPr="000F1FBB" w:rsidRDefault="00281C15" w:rsidP="003B664F">
      <w:pPr>
        <w:numPr>
          <w:ilvl w:val="0"/>
          <w:numId w:val="21"/>
        </w:numPr>
        <w:rPr>
          <w:snapToGrid w:val="0"/>
        </w:rPr>
      </w:pPr>
      <w:r>
        <w:rPr>
          <w:snapToGrid w:val="0"/>
        </w:rPr>
        <w:t xml:space="preserve">Citez les dérivés des </w:t>
      </w:r>
      <w:r w:rsidR="007668F8">
        <w:rPr>
          <w:snapToGrid w:val="0"/>
        </w:rPr>
        <w:t>crêtes neurales</w:t>
      </w:r>
    </w:p>
    <w:p w:rsidR="00D81B93" w:rsidRDefault="00D81B93" w:rsidP="00D81B93">
      <w:pPr>
        <w:ind w:left="1701"/>
        <w:rPr>
          <w:snapToGrid w:val="0"/>
          <w:bdr w:val="single" w:sz="4" w:space="0" w:color="auto"/>
        </w:rPr>
      </w:pPr>
    </w:p>
    <w:p w:rsidR="00D81B93" w:rsidRDefault="00D81B93" w:rsidP="00D81B93">
      <w:pPr>
        <w:tabs>
          <w:tab w:val="left" w:pos="1701"/>
        </w:tabs>
        <w:ind w:left="1695"/>
        <w:rPr>
          <w:snapToGrid w:val="0"/>
          <w:bdr w:val="single" w:sz="4" w:space="0" w:color="auto"/>
        </w:rPr>
      </w:pPr>
    </w:p>
    <w:p w:rsidR="00D81B93" w:rsidRDefault="00D81B93" w:rsidP="00D81B93">
      <w:pPr>
        <w:tabs>
          <w:tab w:val="left" w:pos="1701"/>
        </w:tabs>
        <w:ind w:left="1695"/>
        <w:rPr>
          <w:snapToGrid w:val="0"/>
          <w:bdr w:val="single" w:sz="4" w:space="0" w:color="auto"/>
        </w:rPr>
      </w:pPr>
      <w:r>
        <w:rPr>
          <w:rFonts w:ascii="Courier New" w:hAnsi="Courier New"/>
          <w:b/>
          <w:snapToGrid w:val="0"/>
          <w:sz w:val="36"/>
          <w:bdr w:val="single" w:sz="4" w:space="0" w:color="auto"/>
        </w:rPr>
        <w:t>Q</w:t>
      </w:r>
      <w:r>
        <w:rPr>
          <w:rFonts w:ascii="Courier New" w:hAnsi="Courier New"/>
          <w:snapToGrid w:val="0"/>
          <w:sz w:val="36"/>
          <w:bdr w:val="single" w:sz="4" w:space="0" w:color="auto"/>
        </w:rPr>
        <w:t xml:space="preserve">uestions à </w:t>
      </w:r>
      <w:r>
        <w:rPr>
          <w:rFonts w:ascii="Courier New" w:hAnsi="Courier New"/>
          <w:b/>
          <w:snapToGrid w:val="0"/>
          <w:sz w:val="36"/>
          <w:bdr w:val="single" w:sz="4" w:space="0" w:color="auto"/>
        </w:rPr>
        <w:t>C</w:t>
      </w:r>
      <w:r>
        <w:rPr>
          <w:rFonts w:ascii="Courier New" w:hAnsi="Courier New"/>
          <w:snapToGrid w:val="0"/>
          <w:sz w:val="36"/>
          <w:bdr w:val="single" w:sz="4" w:space="0" w:color="auto"/>
        </w:rPr>
        <w:t xml:space="preserve">hoix </w:t>
      </w:r>
      <w:r>
        <w:rPr>
          <w:rFonts w:ascii="Courier New" w:hAnsi="Courier New"/>
          <w:b/>
          <w:snapToGrid w:val="0"/>
          <w:sz w:val="36"/>
          <w:bdr w:val="single" w:sz="4" w:space="0" w:color="auto"/>
        </w:rPr>
        <w:t>M</w:t>
      </w:r>
      <w:r>
        <w:rPr>
          <w:rFonts w:ascii="Courier New" w:hAnsi="Courier New"/>
          <w:snapToGrid w:val="0"/>
          <w:sz w:val="36"/>
          <w:bdr w:val="single" w:sz="4" w:space="0" w:color="auto"/>
        </w:rPr>
        <w:t>ultiple</w:t>
      </w:r>
    </w:p>
    <w:p w:rsidR="00D81B93" w:rsidRDefault="00D81B93" w:rsidP="00D81B93">
      <w:pPr>
        <w:tabs>
          <w:tab w:val="left" w:pos="1701"/>
        </w:tabs>
        <w:rPr>
          <w:snapToGrid w:val="0"/>
        </w:rPr>
      </w:pPr>
      <w:r>
        <w:rPr>
          <w:snapToGrid w:val="0"/>
        </w:rPr>
        <w:tab/>
        <w:t xml:space="preserve"> </w:t>
      </w:r>
    </w:p>
    <w:p w:rsidR="00D81B93" w:rsidRPr="00EA076D" w:rsidRDefault="00D81B93" w:rsidP="003B664F">
      <w:pPr>
        <w:widowControl w:val="0"/>
        <w:numPr>
          <w:ilvl w:val="0"/>
          <w:numId w:val="22"/>
        </w:numPr>
        <w:spacing w:line="240" w:lineRule="atLeast"/>
        <w:rPr>
          <w:b/>
          <w:bCs/>
          <w:snapToGrid w:val="0"/>
        </w:rPr>
      </w:pPr>
      <w:r w:rsidRPr="00EA076D">
        <w:rPr>
          <w:b/>
          <w:bCs/>
          <w:snapToGrid w:val="0"/>
        </w:rPr>
        <w:t>Pendant la quatrième semaine, il est vrai que :</w:t>
      </w:r>
    </w:p>
    <w:p w:rsidR="00D81B93" w:rsidRDefault="00975856" w:rsidP="003B664F">
      <w:pPr>
        <w:widowControl w:val="0"/>
        <w:numPr>
          <w:ilvl w:val="0"/>
          <w:numId w:val="23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cavité amniotique ne se développe que très peu</w:t>
      </w:r>
    </w:p>
    <w:p w:rsidR="00D81B93" w:rsidRDefault="00975856" w:rsidP="003B664F">
      <w:pPr>
        <w:widowControl w:val="0"/>
        <w:numPr>
          <w:ilvl w:val="0"/>
          <w:numId w:val="23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volume de la sphère choriale est multiplié par 10</w:t>
      </w:r>
    </w:p>
    <w:p w:rsidR="00D81B93" w:rsidRDefault="00975856" w:rsidP="003B664F">
      <w:pPr>
        <w:widowControl w:val="0"/>
        <w:numPr>
          <w:ilvl w:val="0"/>
          <w:numId w:val="23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cordon ombilical apparaît dans le syncitiotrophoblaste</w:t>
      </w:r>
    </w:p>
    <w:p w:rsidR="00EA076D" w:rsidRDefault="00975856" w:rsidP="003B664F">
      <w:pPr>
        <w:widowControl w:val="0"/>
        <w:numPr>
          <w:ilvl w:val="0"/>
          <w:numId w:val="23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Le</w:t>
      </w:r>
      <w:r w:rsidR="00EA076D">
        <w:rPr>
          <w:snapToGrid w:val="0"/>
        </w:rPr>
        <w:t xml:space="preserve"> lecithocele II émet par invagination le diverticule allantoïdien</w:t>
      </w:r>
    </w:p>
    <w:p w:rsidR="00D81B93" w:rsidRDefault="00975856" w:rsidP="003B664F">
      <w:pPr>
        <w:widowControl w:val="0"/>
        <w:numPr>
          <w:ilvl w:val="0"/>
          <w:numId w:val="23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Le</w:t>
      </w:r>
      <w:r w:rsidR="00C96774">
        <w:rPr>
          <w:snapToGrid w:val="0"/>
        </w:rPr>
        <w:t xml:space="preserve"> développement du cœlome extra embryonnaire plaque la cavité amniotique contre le chorion du l’œuf </w:t>
      </w:r>
    </w:p>
    <w:p w:rsidR="00D81B93" w:rsidRDefault="00D81B93" w:rsidP="00D81B93">
      <w:pPr>
        <w:widowControl w:val="0"/>
        <w:spacing w:line="240" w:lineRule="atLeast"/>
        <w:ind w:left="1701"/>
        <w:rPr>
          <w:snapToGrid w:val="0"/>
        </w:rPr>
      </w:pPr>
    </w:p>
    <w:p w:rsidR="00D81B93" w:rsidRPr="00EA076D" w:rsidRDefault="00D81B93" w:rsidP="003B664F">
      <w:pPr>
        <w:widowControl w:val="0"/>
        <w:numPr>
          <w:ilvl w:val="0"/>
          <w:numId w:val="22"/>
        </w:numPr>
        <w:spacing w:line="240" w:lineRule="atLeast"/>
        <w:rPr>
          <w:b/>
          <w:bCs/>
          <w:snapToGrid w:val="0"/>
        </w:rPr>
      </w:pPr>
      <w:r w:rsidRPr="00EA076D">
        <w:rPr>
          <w:b/>
          <w:bCs/>
          <w:snapToGrid w:val="0"/>
        </w:rPr>
        <w:t>Le canal vitellin unit :</w:t>
      </w:r>
    </w:p>
    <w:p w:rsidR="00D81B93" w:rsidRDefault="00975856" w:rsidP="003B664F">
      <w:pPr>
        <w:widowControl w:val="0"/>
        <w:numPr>
          <w:ilvl w:val="0"/>
          <w:numId w:val="24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La</w:t>
      </w:r>
      <w:r w:rsidR="00D81B93">
        <w:rPr>
          <w:snapToGrid w:val="0"/>
        </w:rPr>
        <w:t xml:space="preserve"> cavité amniotique au lécithocèle secondaire</w:t>
      </w:r>
    </w:p>
    <w:p w:rsidR="00D81B93" w:rsidRDefault="00975856" w:rsidP="003B664F">
      <w:pPr>
        <w:widowControl w:val="0"/>
        <w:numPr>
          <w:ilvl w:val="0"/>
          <w:numId w:val="24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Le</w:t>
      </w:r>
      <w:r w:rsidR="00D81B93">
        <w:rPr>
          <w:snapToGrid w:val="0"/>
        </w:rPr>
        <w:t xml:space="preserve"> cœlome intra-embryonnaire au cœlome extra-embryonnaire</w:t>
      </w:r>
    </w:p>
    <w:p w:rsidR="00D81B93" w:rsidRDefault="00975856" w:rsidP="003B664F">
      <w:pPr>
        <w:widowControl w:val="0"/>
        <w:numPr>
          <w:ilvl w:val="0"/>
          <w:numId w:val="24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L’intestin</w:t>
      </w:r>
      <w:r w:rsidR="00D81B93">
        <w:rPr>
          <w:snapToGrid w:val="0"/>
        </w:rPr>
        <w:t xml:space="preserve"> primitif à la vésicule ombilicale</w:t>
      </w:r>
    </w:p>
    <w:p w:rsidR="00C96774" w:rsidRDefault="00975856" w:rsidP="003B664F">
      <w:pPr>
        <w:widowControl w:val="0"/>
        <w:numPr>
          <w:ilvl w:val="0"/>
          <w:numId w:val="24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L’allantoïde</w:t>
      </w:r>
      <w:r w:rsidR="00C96774">
        <w:rPr>
          <w:snapToGrid w:val="0"/>
        </w:rPr>
        <w:t xml:space="preserve"> au pédicule embryonnaire</w:t>
      </w:r>
    </w:p>
    <w:p w:rsidR="00D81B93" w:rsidRDefault="00975856" w:rsidP="003B664F">
      <w:pPr>
        <w:widowControl w:val="0"/>
        <w:numPr>
          <w:ilvl w:val="0"/>
          <w:numId w:val="24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L’intestin</w:t>
      </w:r>
      <w:r w:rsidR="00C96774">
        <w:rPr>
          <w:snapToGrid w:val="0"/>
        </w:rPr>
        <w:t xml:space="preserve"> primitif antérieur </w:t>
      </w:r>
      <w:r>
        <w:rPr>
          <w:snapToGrid w:val="0"/>
        </w:rPr>
        <w:t>à</w:t>
      </w:r>
      <w:r w:rsidR="00C96774">
        <w:rPr>
          <w:snapToGrid w:val="0"/>
        </w:rPr>
        <w:t xml:space="preserve"> l’intestin primitif postérieur</w:t>
      </w:r>
    </w:p>
    <w:p w:rsidR="00D81B93" w:rsidRDefault="00D81B93" w:rsidP="00D81B93">
      <w:pPr>
        <w:widowControl w:val="0"/>
        <w:spacing w:line="240" w:lineRule="atLeast"/>
        <w:ind w:left="1701"/>
        <w:rPr>
          <w:snapToGrid w:val="0"/>
        </w:rPr>
      </w:pPr>
    </w:p>
    <w:p w:rsidR="00D81B93" w:rsidRPr="00EA076D" w:rsidRDefault="00D81B93" w:rsidP="003B664F">
      <w:pPr>
        <w:widowControl w:val="0"/>
        <w:numPr>
          <w:ilvl w:val="0"/>
          <w:numId w:val="22"/>
        </w:numPr>
        <w:spacing w:line="240" w:lineRule="atLeast"/>
        <w:rPr>
          <w:b/>
          <w:bCs/>
          <w:snapToGrid w:val="0"/>
        </w:rPr>
      </w:pPr>
      <w:r w:rsidRPr="00EA076D">
        <w:rPr>
          <w:b/>
          <w:bCs/>
          <w:snapToGrid w:val="0"/>
        </w:rPr>
        <w:t>En fin de quatrième semaine, le tube neural :</w:t>
      </w:r>
    </w:p>
    <w:p w:rsidR="00D81B93" w:rsidRDefault="00975856" w:rsidP="003B664F">
      <w:pPr>
        <w:widowControl w:val="0"/>
        <w:numPr>
          <w:ilvl w:val="0"/>
          <w:numId w:val="25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Montre</w:t>
      </w:r>
      <w:r w:rsidR="00D81B93">
        <w:rPr>
          <w:snapToGrid w:val="0"/>
        </w:rPr>
        <w:t xml:space="preserve"> dans sa partie céphalique 6 vésicules dilatées</w:t>
      </w:r>
    </w:p>
    <w:p w:rsidR="00D81B93" w:rsidRDefault="00975856" w:rsidP="003B664F">
      <w:pPr>
        <w:widowControl w:val="0"/>
        <w:numPr>
          <w:ilvl w:val="0"/>
          <w:numId w:val="25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Présente</w:t>
      </w:r>
      <w:r w:rsidR="00D81B93">
        <w:rPr>
          <w:snapToGrid w:val="0"/>
        </w:rPr>
        <w:t xml:space="preserve"> deux orifices : les neuropores</w:t>
      </w:r>
      <w:r w:rsidR="00C96774">
        <w:rPr>
          <w:snapToGrid w:val="0"/>
        </w:rPr>
        <w:t> :</w:t>
      </w:r>
      <w:r w:rsidR="00D81B93">
        <w:rPr>
          <w:snapToGrid w:val="0"/>
        </w:rPr>
        <w:t xml:space="preserve"> antérieur et postérieur</w:t>
      </w:r>
    </w:p>
    <w:p w:rsidR="00D81B93" w:rsidRDefault="00975856" w:rsidP="003B664F">
      <w:pPr>
        <w:widowControl w:val="0"/>
        <w:numPr>
          <w:ilvl w:val="0"/>
          <w:numId w:val="25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Évolue</w:t>
      </w:r>
      <w:r w:rsidR="00D81B93">
        <w:rPr>
          <w:snapToGrid w:val="0"/>
        </w:rPr>
        <w:t xml:space="preserve"> en une plaque neurale</w:t>
      </w:r>
    </w:p>
    <w:p w:rsidR="00C96774" w:rsidRDefault="00975856" w:rsidP="003B664F">
      <w:pPr>
        <w:widowControl w:val="0"/>
        <w:numPr>
          <w:ilvl w:val="0"/>
          <w:numId w:val="25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Évolue</w:t>
      </w:r>
      <w:r w:rsidR="00C96774">
        <w:rPr>
          <w:snapToGrid w:val="0"/>
        </w:rPr>
        <w:t xml:space="preserve"> en une gouttière neurale</w:t>
      </w:r>
    </w:p>
    <w:p w:rsidR="00D81B93" w:rsidRDefault="00975856" w:rsidP="003B664F">
      <w:pPr>
        <w:widowControl w:val="0"/>
        <w:numPr>
          <w:ilvl w:val="0"/>
          <w:numId w:val="25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Donne</w:t>
      </w:r>
      <w:r w:rsidR="00C96774">
        <w:rPr>
          <w:snapToGrid w:val="0"/>
        </w:rPr>
        <w:t xml:space="preserve"> le nucleus pu</w:t>
      </w:r>
      <w:r>
        <w:rPr>
          <w:snapToGrid w:val="0"/>
        </w:rPr>
        <w:t>l</w:t>
      </w:r>
      <w:r w:rsidR="00C96774">
        <w:rPr>
          <w:snapToGrid w:val="0"/>
        </w:rPr>
        <w:t>posus</w:t>
      </w:r>
    </w:p>
    <w:p w:rsidR="00D81B93" w:rsidRDefault="00D81B93" w:rsidP="00D81B93">
      <w:pPr>
        <w:widowControl w:val="0"/>
        <w:spacing w:line="240" w:lineRule="atLeast"/>
        <w:ind w:left="1701"/>
        <w:rPr>
          <w:snapToGrid w:val="0"/>
        </w:rPr>
      </w:pPr>
    </w:p>
    <w:p w:rsidR="00D81B93" w:rsidRPr="00EA076D" w:rsidRDefault="00D81B93" w:rsidP="003B664F">
      <w:pPr>
        <w:widowControl w:val="0"/>
        <w:numPr>
          <w:ilvl w:val="0"/>
          <w:numId w:val="22"/>
        </w:numPr>
        <w:spacing w:line="240" w:lineRule="atLeast"/>
        <w:rPr>
          <w:b/>
          <w:bCs/>
          <w:snapToGrid w:val="0"/>
        </w:rPr>
      </w:pPr>
      <w:r w:rsidRPr="00EA076D">
        <w:rPr>
          <w:b/>
          <w:bCs/>
          <w:snapToGrid w:val="0"/>
        </w:rPr>
        <w:t>Les cellules cristo-neurales :</w:t>
      </w:r>
    </w:p>
    <w:p w:rsidR="00D81B93" w:rsidRDefault="00975856" w:rsidP="003B664F">
      <w:pPr>
        <w:widowControl w:val="0"/>
        <w:numPr>
          <w:ilvl w:val="0"/>
          <w:numId w:val="26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 xml:space="preserve">Sont à l'origine du muscle strié squelettique </w:t>
      </w:r>
    </w:p>
    <w:p w:rsidR="00D81B93" w:rsidRDefault="00975856" w:rsidP="003B664F">
      <w:pPr>
        <w:widowControl w:val="0"/>
        <w:numPr>
          <w:ilvl w:val="0"/>
          <w:numId w:val="26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Donnent</w:t>
      </w:r>
      <w:r w:rsidR="00D81B93">
        <w:rPr>
          <w:snapToGrid w:val="0"/>
        </w:rPr>
        <w:t xml:space="preserve"> principalement les ganglions lymphatiques</w:t>
      </w:r>
    </w:p>
    <w:p w:rsidR="00D81B93" w:rsidRDefault="00975856" w:rsidP="003B664F">
      <w:pPr>
        <w:widowControl w:val="0"/>
        <w:numPr>
          <w:ilvl w:val="0"/>
          <w:numId w:val="26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Dérivent de mésoblaste</w:t>
      </w:r>
    </w:p>
    <w:p w:rsidR="00C96774" w:rsidRDefault="00975856" w:rsidP="003B664F">
      <w:pPr>
        <w:widowControl w:val="0"/>
        <w:numPr>
          <w:ilvl w:val="0"/>
          <w:numId w:val="26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Dérivent</w:t>
      </w:r>
      <w:r w:rsidR="00C96774">
        <w:rPr>
          <w:snapToGrid w:val="0"/>
        </w:rPr>
        <w:t xml:space="preserve"> du neuro ectoblaste</w:t>
      </w:r>
    </w:p>
    <w:p w:rsidR="00D81B93" w:rsidRDefault="00975856" w:rsidP="003B664F">
      <w:pPr>
        <w:widowControl w:val="0"/>
        <w:numPr>
          <w:ilvl w:val="0"/>
          <w:numId w:val="26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Donnent</w:t>
      </w:r>
      <w:r w:rsidR="00990361">
        <w:rPr>
          <w:snapToGrid w:val="0"/>
        </w:rPr>
        <w:t xml:space="preserve"> des ganglions spinaux et </w:t>
      </w:r>
      <w:r>
        <w:rPr>
          <w:snapToGrid w:val="0"/>
        </w:rPr>
        <w:t>sympathiques</w:t>
      </w:r>
    </w:p>
    <w:p w:rsidR="00D81B93" w:rsidRDefault="00D81B93" w:rsidP="00D81B93">
      <w:pPr>
        <w:widowControl w:val="0"/>
        <w:spacing w:line="240" w:lineRule="atLeast"/>
        <w:ind w:left="1701"/>
        <w:rPr>
          <w:snapToGrid w:val="0"/>
        </w:rPr>
      </w:pPr>
    </w:p>
    <w:p w:rsidR="00D81B93" w:rsidRPr="00EA076D" w:rsidRDefault="00D81B93" w:rsidP="003B664F">
      <w:pPr>
        <w:widowControl w:val="0"/>
        <w:numPr>
          <w:ilvl w:val="0"/>
          <w:numId w:val="22"/>
        </w:numPr>
        <w:spacing w:line="240" w:lineRule="atLeast"/>
        <w:rPr>
          <w:b/>
          <w:bCs/>
          <w:snapToGrid w:val="0"/>
        </w:rPr>
      </w:pPr>
      <w:r w:rsidRPr="00EA076D">
        <w:rPr>
          <w:b/>
          <w:bCs/>
          <w:snapToGrid w:val="0"/>
        </w:rPr>
        <w:t>Le rein définitif est issu :</w:t>
      </w:r>
    </w:p>
    <w:p w:rsidR="00D81B93" w:rsidRDefault="00975856" w:rsidP="003B664F">
      <w:pPr>
        <w:widowControl w:val="0"/>
        <w:numPr>
          <w:ilvl w:val="0"/>
          <w:numId w:val="27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Du</w:t>
      </w:r>
      <w:r w:rsidR="00D81B93">
        <w:rPr>
          <w:snapToGrid w:val="0"/>
        </w:rPr>
        <w:t xml:space="preserve"> mésoblaste para-axial</w:t>
      </w:r>
    </w:p>
    <w:p w:rsidR="00D81B93" w:rsidRDefault="00975856" w:rsidP="003B664F">
      <w:pPr>
        <w:widowControl w:val="0"/>
        <w:numPr>
          <w:ilvl w:val="0"/>
          <w:numId w:val="27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Du</w:t>
      </w:r>
      <w:r w:rsidR="00D81B93">
        <w:rPr>
          <w:snapToGrid w:val="0"/>
        </w:rPr>
        <w:t xml:space="preserve"> mésoblaste intermédiaire</w:t>
      </w:r>
    </w:p>
    <w:p w:rsidR="00D81B93" w:rsidRDefault="00975856" w:rsidP="003B664F">
      <w:pPr>
        <w:widowControl w:val="0"/>
        <w:numPr>
          <w:ilvl w:val="0"/>
          <w:numId w:val="27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Du</w:t>
      </w:r>
      <w:r w:rsidR="00D81B93">
        <w:rPr>
          <w:snapToGrid w:val="0"/>
        </w:rPr>
        <w:t xml:space="preserve"> mésoblaste latéral</w:t>
      </w:r>
    </w:p>
    <w:p w:rsidR="00990361" w:rsidRDefault="00975856" w:rsidP="003B664F">
      <w:pPr>
        <w:widowControl w:val="0"/>
        <w:numPr>
          <w:ilvl w:val="0"/>
          <w:numId w:val="27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lastRenderedPageBreak/>
        <w:t>Du</w:t>
      </w:r>
      <w:r w:rsidR="00990361">
        <w:rPr>
          <w:snapToGrid w:val="0"/>
        </w:rPr>
        <w:t xml:space="preserve"> mésenchyme extra embryonnaire</w:t>
      </w:r>
    </w:p>
    <w:p w:rsidR="00D81B93" w:rsidRDefault="00975856" w:rsidP="003B664F">
      <w:pPr>
        <w:widowControl w:val="0"/>
        <w:numPr>
          <w:ilvl w:val="0"/>
          <w:numId w:val="27"/>
        </w:numPr>
        <w:tabs>
          <w:tab w:val="left" w:pos="2410"/>
        </w:tabs>
        <w:spacing w:line="240" w:lineRule="atLeast"/>
        <w:rPr>
          <w:snapToGrid w:val="0"/>
        </w:rPr>
      </w:pPr>
      <w:r>
        <w:rPr>
          <w:snapToGrid w:val="0"/>
        </w:rPr>
        <w:t>Du mésenchyme de la lame choriale</w:t>
      </w:r>
    </w:p>
    <w:p w:rsidR="007B655F" w:rsidRPr="009A1820" w:rsidRDefault="00D81B93" w:rsidP="0090050E">
      <w:pPr>
        <w:widowControl w:val="0"/>
        <w:tabs>
          <w:tab w:val="left" w:pos="2410"/>
        </w:tabs>
        <w:spacing w:line="240" w:lineRule="atLeast"/>
        <w:ind w:left="2410"/>
        <w:rPr>
          <w:snapToGrid w:val="0"/>
        </w:rPr>
      </w:pPr>
      <w:r>
        <w:rPr>
          <w:snapToGrid w:val="0"/>
        </w:rPr>
        <w:t xml:space="preserve"> </w:t>
      </w:r>
      <w:bookmarkEnd w:id="1"/>
    </w:p>
    <w:sectPr w:rsidR="007B655F" w:rsidRPr="009A1820" w:rsidSect="008F7ECF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314F" w:rsidRDefault="00D7314F" w:rsidP="00BE59D5">
      <w:r>
        <w:separator/>
      </w:r>
    </w:p>
  </w:endnote>
  <w:endnote w:type="continuationSeparator" w:id="0">
    <w:p w:rsidR="00D7314F" w:rsidRDefault="00D7314F" w:rsidP="00BE59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77C4" w:rsidRDefault="006C77C4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1404"/>
      <w:docPartObj>
        <w:docPartGallery w:val="Page Numbers (Bottom of Page)"/>
        <w:docPartUnique/>
      </w:docPartObj>
    </w:sdtPr>
    <w:sdtEndPr/>
    <w:sdtContent>
      <w:p w:rsidR="00286576" w:rsidRDefault="00820D08">
        <w:pPr>
          <w:pStyle w:val="Pieddepag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C72B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286576" w:rsidRDefault="00286576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77C4" w:rsidRDefault="006C77C4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314F" w:rsidRDefault="00D7314F" w:rsidP="00BE59D5">
      <w:r>
        <w:separator/>
      </w:r>
    </w:p>
  </w:footnote>
  <w:footnote w:type="continuationSeparator" w:id="0">
    <w:p w:rsidR="00D7314F" w:rsidRDefault="00D7314F" w:rsidP="00BE59D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77C4" w:rsidRDefault="006C77C4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59D5" w:rsidRDefault="008E1EA4" w:rsidP="00BE59D5">
    <w:pPr>
      <w:pStyle w:val="En-tte"/>
      <w:jc w:val="center"/>
    </w:pPr>
    <w:r>
      <w:t xml:space="preserve">Université de Tiaret - Faculté de Médecine </w:t>
    </w:r>
    <w:r>
      <w:tab/>
    </w:r>
    <w:r>
      <w:tab/>
      <w:t xml:space="preserve"> Module d’embryologie</w:t>
    </w:r>
  </w:p>
  <w:p w:rsidR="00BE59D5" w:rsidRDefault="008E1EA4" w:rsidP="006C77C4">
    <w:pPr>
      <w:pStyle w:val="En-tte"/>
      <w:jc w:val="center"/>
    </w:pPr>
    <w:r>
      <w:t>Année universitaire : 2023</w:t>
    </w:r>
    <w:r w:rsidR="00734445">
      <w:t>/202</w:t>
    </w:r>
    <w:r>
      <w:t>4</w:t>
    </w:r>
    <w:r w:rsidR="00BE59D5">
      <w:tab/>
    </w:r>
    <w:r w:rsidR="00BE59D5">
      <w:tab/>
      <w:t>1</w:t>
    </w:r>
    <w:r w:rsidR="00BE59D5">
      <w:rPr>
        <w:vertAlign w:val="superscript"/>
      </w:rPr>
      <w:t>ère</w:t>
    </w:r>
    <w:r w:rsidR="00BE59D5">
      <w:t xml:space="preserve"> année de médecine</w:t>
    </w:r>
  </w:p>
  <w:p w:rsidR="00BE59D5" w:rsidRDefault="00BE59D5" w:rsidP="00BE59D5">
    <w:pPr>
      <w:pStyle w:val="En-tte"/>
      <w:pBdr>
        <w:bottom w:val="single" w:sz="4" w:space="1" w:color="auto"/>
      </w:pBdr>
      <w:jc w:val="center"/>
    </w:pPr>
    <w:r>
      <w:t xml:space="preserve">- </w:t>
    </w:r>
    <w:r w:rsidR="00222E04">
      <w:t xml:space="preserve">Dr Messala N.  </w:t>
    </w:r>
    <w:r>
      <w:t xml:space="preserve"> -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77C4" w:rsidRDefault="006C77C4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20002"/>
    <w:multiLevelType w:val="singleLevel"/>
    <w:tmpl w:val="F698D8BA"/>
    <w:lvl w:ilvl="0">
      <w:start w:val="1"/>
      <w:numFmt w:val="upperLetter"/>
      <w:lvlText w:val="%1)"/>
      <w:lvlJc w:val="left"/>
      <w:pPr>
        <w:tabs>
          <w:tab w:val="num" w:pos="2770"/>
        </w:tabs>
        <w:ind w:left="2770" w:hanging="360"/>
      </w:pPr>
      <w:rPr>
        <w:rFonts w:hint="default"/>
      </w:rPr>
    </w:lvl>
  </w:abstractNum>
  <w:abstractNum w:abstractNumId="1">
    <w:nsid w:val="032A05C8"/>
    <w:multiLevelType w:val="hybridMultilevel"/>
    <w:tmpl w:val="3C5603FE"/>
    <w:lvl w:ilvl="0" w:tplc="7FF68F42">
      <w:start w:val="1"/>
      <w:numFmt w:val="bullet"/>
      <w:pStyle w:val="Style4"/>
      <w:lvlText w:val=""/>
      <w:lvlJc w:val="left"/>
      <w:pPr>
        <w:tabs>
          <w:tab w:val="num" w:pos="991"/>
        </w:tabs>
        <w:ind w:left="991" w:hanging="283"/>
      </w:pPr>
      <w:rPr>
        <w:rFonts w:ascii="Symbol" w:hAnsi="Symbol" w:hint="default"/>
      </w:rPr>
    </w:lvl>
    <w:lvl w:ilvl="1" w:tplc="040C0001">
      <w:start w:val="1"/>
      <w:numFmt w:val="bullet"/>
      <w:lvlText w:val=""/>
      <w:lvlJc w:val="left"/>
      <w:pPr>
        <w:tabs>
          <w:tab w:val="num" w:pos="1864"/>
        </w:tabs>
        <w:ind w:left="1864" w:hanging="360"/>
      </w:pPr>
      <w:rPr>
        <w:rFonts w:ascii="Symbol" w:hAnsi="Symbol" w:hint="default"/>
      </w:rPr>
    </w:lvl>
    <w:lvl w:ilvl="2" w:tplc="040C0005">
      <w:start w:val="1"/>
      <w:numFmt w:val="decimal"/>
      <w:lvlText w:val="%3."/>
      <w:lvlJc w:val="left"/>
      <w:pPr>
        <w:tabs>
          <w:tab w:val="num" w:pos="2584"/>
        </w:tabs>
        <w:ind w:left="2584" w:hanging="360"/>
      </w:pPr>
    </w:lvl>
    <w:lvl w:ilvl="3" w:tplc="040C0001">
      <w:start w:val="1"/>
      <w:numFmt w:val="decimal"/>
      <w:lvlText w:val="%4."/>
      <w:lvlJc w:val="left"/>
      <w:pPr>
        <w:tabs>
          <w:tab w:val="num" w:pos="3304"/>
        </w:tabs>
        <w:ind w:left="3304" w:hanging="360"/>
      </w:pPr>
    </w:lvl>
    <w:lvl w:ilvl="4" w:tplc="040C0003">
      <w:start w:val="1"/>
      <w:numFmt w:val="decimal"/>
      <w:lvlText w:val="%5."/>
      <w:lvlJc w:val="left"/>
      <w:pPr>
        <w:tabs>
          <w:tab w:val="num" w:pos="4024"/>
        </w:tabs>
        <w:ind w:left="4024" w:hanging="360"/>
      </w:pPr>
    </w:lvl>
    <w:lvl w:ilvl="5" w:tplc="040C0005">
      <w:start w:val="1"/>
      <w:numFmt w:val="decimal"/>
      <w:lvlText w:val="%6."/>
      <w:lvlJc w:val="left"/>
      <w:pPr>
        <w:tabs>
          <w:tab w:val="num" w:pos="4744"/>
        </w:tabs>
        <w:ind w:left="4744" w:hanging="360"/>
      </w:pPr>
    </w:lvl>
    <w:lvl w:ilvl="6" w:tplc="040C0001">
      <w:start w:val="1"/>
      <w:numFmt w:val="decimal"/>
      <w:lvlText w:val="%7."/>
      <w:lvlJc w:val="left"/>
      <w:pPr>
        <w:tabs>
          <w:tab w:val="num" w:pos="5464"/>
        </w:tabs>
        <w:ind w:left="5464" w:hanging="360"/>
      </w:pPr>
    </w:lvl>
    <w:lvl w:ilvl="7" w:tplc="040C0003">
      <w:start w:val="1"/>
      <w:numFmt w:val="decimal"/>
      <w:lvlText w:val="%8."/>
      <w:lvlJc w:val="left"/>
      <w:pPr>
        <w:tabs>
          <w:tab w:val="num" w:pos="6184"/>
        </w:tabs>
        <w:ind w:left="6184" w:hanging="360"/>
      </w:pPr>
    </w:lvl>
    <w:lvl w:ilvl="8" w:tplc="040C0005">
      <w:start w:val="1"/>
      <w:numFmt w:val="decimal"/>
      <w:lvlText w:val="%9."/>
      <w:lvlJc w:val="left"/>
      <w:pPr>
        <w:tabs>
          <w:tab w:val="num" w:pos="6904"/>
        </w:tabs>
        <w:ind w:left="6904" w:hanging="360"/>
      </w:pPr>
    </w:lvl>
  </w:abstractNum>
  <w:abstractNum w:abstractNumId="2">
    <w:nsid w:val="064D721E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8392EF6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94310EA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>
    <w:nsid w:val="1C116FB5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>
    <w:nsid w:val="1D99360C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1DD06FFD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1E27748A"/>
    <w:multiLevelType w:val="hybridMultilevel"/>
    <w:tmpl w:val="6A2C8AE4"/>
    <w:lvl w:ilvl="0" w:tplc="5D60A106">
      <w:numFmt w:val="bullet"/>
      <w:lvlText w:val="-"/>
      <w:lvlJc w:val="left"/>
      <w:pPr>
        <w:ind w:left="1075" w:hanging="360"/>
      </w:pPr>
      <w:rPr>
        <w:rFonts w:hint="default"/>
      </w:rPr>
    </w:lvl>
    <w:lvl w:ilvl="1" w:tplc="040C0003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9">
    <w:nsid w:val="1ED46E5A"/>
    <w:multiLevelType w:val="hybridMultilevel"/>
    <w:tmpl w:val="CA2A3514"/>
    <w:lvl w:ilvl="0" w:tplc="2CB0B5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113C78"/>
    <w:multiLevelType w:val="singleLevel"/>
    <w:tmpl w:val="0206F9B8"/>
    <w:lvl w:ilvl="0">
      <w:start w:val="1"/>
      <w:numFmt w:val="decimal"/>
      <w:lvlText w:val="%1)"/>
      <w:lvlJc w:val="left"/>
      <w:pPr>
        <w:tabs>
          <w:tab w:val="num" w:pos="2061"/>
        </w:tabs>
        <w:ind w:left="2061" w:hanging="360"/>
      </w:pPr>
      <w:rPr>
        <w:rFonts w:hint="default"/>
      </w:rPr>
    </w:lvl>
  </w:abstractNum>
  <w:abstractNum w:abstractNumId="11">
    <w:nsid w:val="2C6A13F7"/>
    <w:multiLevelType w:val="singleLevel"/>
    <w:tmpl w:val="38E877EE"/>
    <w:lvl w:ilvl="0">
      <w:start w:val="1"/>
      <w:numFmt w:val="upperLetter"/>
      <w:lvlText w:val="%1)"/>
      <w:lvlJc w:val="left"/>
      <w:pPr>
        <w:tabs>
          <w:tab w:val="num" w:pos="2770"/>
        </w:tabs>
        <w:ind w:left="2770" w:hanging="360"/>
      </w:pPr>
      <w:rPr>
        <w:rFonts w:hint="default"/>
      </w:rPr>
    </w:lvl>
  </w:abstractNum>
  <w:abstractNum w:abstractNumId="12">
    <w:nsid w:val="2E0E7991"/>
    <w:multiLevelType w:val="singleLevel"/>
    <w:tmpl w:val="F4FAE33E"/>
    <w:lvl w:ilvl="0">
      <w:start w:val="1"/>
      <w:numFmt w:val="upperLetter"/>
      <w:lvlText w:val="%1)"/>
      <w:lvlJc w:val="left"/>
      <w:pPr>
        <w:tabs>
          <w:tab w:val="num" w:pos="2770"/>
        </w:tabs>
        <w:ind w:left="2770" w:hanging="360"/>
      </w:pPr>
      <w:rPr>
        <w:rFonts w:hint="default"/>
      </w:rPr>
    </w:lvl>
  </w:abstractNum>
  <w:abstractNum w:abstractNumId="13">
    <w:nsid w:val="311C3E00"/>
    <w:multiLevelType w:val="hybridMultilevel"/>
    <w:tmpl w:val="5030D498"/>
    <w:lvl w:ilvl="0" w:tplc="6DCCAD1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B17EB64E" w:tentative="1">
      <w:start w:val="1"/>
      <w:numFmt w:val="lowerLetter"/>
      <w:lvlText w:val="%2."/>
      <w:lvlJc w:val="left"/>
      <w:pPr>
        <w:ind w:left="1440" w:hanging="360"/>
      </w:pPr>
    </w:lvl>
    <w:lvl w:ilvl="2" w:tplc="7A72F66C" w:tentative="1">
      <w:start w:val="1"/>
      <w:numFmt w:val="lowerRoman"/>
      <w:lvlText w:val="%3."/>
      <w:lvlJc w:val="right"/>
      <w:pPr>
        <w:ind w:left="2160" w:hanging="180"/>
      </w:pPr>
    </w:lvl>
    <w:lvl w:ilvl="3" w:tplc="294224EC" w:tentative="1">
      <w:start w:val="1"/>
      <w:numFmt w:val="decimal"/>
      <w:lvlText w:val="%4."/>
      <w:lvlJc w:val="left"/>
      <w:pPr>
        <w:ind w:left="2880" w:hanging="360"/>
      </w:pPr>
    </w:lvl>
    <w:lvl w:ilvl="4" w:tplc="F88CC1DA" w:tentative="1">
      <w:start w:val="1"/>
      <w:numFmt w:val="lowerLetter"/>
      <w:lvlText w:val="%5."/>
      <w:lvlJc w:val="left"/>
      <w:pPr>
        <w:ind w:left="3600" w:hanging="360"/>
      </w:pPr>
    </w:lvl>
    <w:lvl w:ilvl="5" w:tplc="38A8E164" w:tentative="1">
      <w:start w:val="1"/>
      <w:numFmt w:val="lowerRoman"/>
      <w:lvlText w:val="%6."/>
      <w:lvlJc w:val="right"/>
      <w:pPr>
        <w:ind w:left="4320" w:hanging="180"/>
      </w:pPr>
    </w:lvl>
    <w:lvl w:ilvl="6" w:tplc="547A29FC" w:tentative="1">
      <w:start w:val="1"/>
      <w:numFmt w:val="decimal"/>
      <w:lvlText w:val="%7."/>
      <w:lvlJc w:val="left"/>
      <w:pPr>
        <w:ind w:left="5040" w:hanging="360"/>
      </w:pPr>
    </w:lvl>
    <w:lvl w:ilvl="7" w:tplc="EDF6B8B4" w:tentative="1">
      <w:start w:val="1"/>
      <w:numFmt w:val="lowerLetter"/>
      <w:lvlText w:val="%8."/>
      <w:lvlJc w:val="left"/>
      <w:pPr>
        <w:ind w:left="5760" w:hanging="360"/>
      </w:pPr>
    </w:lvl>
    <w:lvl w:ilvl="8" w:tplc="5E5C625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3849A0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5">
    <w:nsid w:val="3DD7129E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>
    <w:nsid w:val="417B5F9A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7">
    <w:nsid w:val="4246481F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8">
    <w:nsid w:val="45A21BCE"/>
    <w:multiLevelType w:val="singleLevel"/>
    <w:tmpl w:val="D9E246B2"/>
    <w:lvl w:ilvl="0">
      <w:start w:val="1"/>
      <w:numFmt w:val="decimal"/>
      <w:lvlText w:val="%1."/>
      <w:lvlJc w:val="left"/>
      <w:pPr>
        <w:tabs>
          <w:tab w:val="num" w:pos="2061"/>
        </w:tabs>
        <w:ind w:left="2061" w:hanging="360"/>
      </w:pPr>
      <w:rPr>
        <w:rFonts w:hint="default"/>
      </w:rPr>
    </w:lvl>
  </w:abstractNum>
  <w:abstractNum w:abstractNumId="19">
    <w:nsid w:val="47F25376"/>
    <w:multiLevelType w:val="singleLevel"/>
    <w:tmpl w:val="17D244DC"/>
    <w:lvl w:ilvl="0">
      <w:start w:val="1"/>
      <w:numFmt w:val="upperLetter"/>
      <w:lvlText w:val="%1)"/>
      <w:lvlJc w:val="left"/>
      <w:pPr>
        <w:tabs>
          <w:tab w:val="num" w:pos="2770"/>
        </w:tabs>
        <w:ind w:left="2770" w:hanging="360"/>
      </w:pPr>
      <w:rPr>
        <w:rFonts w:hint="default"/>
      </w:rPr>
    </w:lvl>
  </w:abstractNum>
  <w:abstractNum w:abstractNumId="20">
    <w:nsid w:val="4A723C9F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1">
    <w:nsid w:val="4D6862F0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2">
    <w:nsid w:val="50010A8B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3">
    <w:nsid w:val="50226F89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4">
    <w:nsid w:val="55C95980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5">
    <w:nsid w:val="56BE0173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>
    <w:nsid w:val="5C515599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7">
    <w:nsid w:val="63BD167A"/>
    <w:multiLevelType w:val="hybridMultilevel"/>
    <w:tmpl w:val="5030D498"/>
    <w:lvl w:ilvl="0" w:tplc="1E9E1CA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8C64434C" w:tentative="1">
      <w:start w:val="1"/>
      <w:numFmt w:val="lowerLetter"/>
      <w:lvlText w:val="%2."/>
      <w:lvlJc w:val="left"/>
      <w:pPr>
        <w:ind w:left="1440" w:hanging="360"/>
      </w:pPr>
    </w:lvl>
    <w:lvl w:ilvl="2" w:tplc="404C0102" w:tentative="1">
      <w:start w:val="1"/>
      <w:numFmt w:val="lowerRoman"/>
      <w:lvlText w:val="%3."/>
      <w:lvlJc w:val="right"/>
      <w:pPr>
        <w:ind w:left="2160" w:hanging="180"/>
      </w:pPr>
    </w:lvl>
    <w:lvl w:ilvl="3" w:tplc="EA86DBE8" w:tentative="1">
      <w:start w:val="1"/>
      <w:numFmt w:val="decimal"/>
      <w:lvlText w:val="%4."/>
      <w:lvlJc w:val="left"/>
      <w:pPr>
        <w:ind w:left="2880" w:hanging="360"/>
      </w:pPr>
    </w:lvl>
    <w:lvl w:ilvl="4" w:tplc="F34AE3E2" w:tentative="1">
      <w:start w:val="1"/>
      <w:numFmt w:val="lowerLetter"/>
      <w:lvlText w:val="%5."/>
      <w:lvlJc w:val="left"/>
      <w:pPr>
        <w:ind w:left="3600" w:hanging="360"/>
      </w:pPr>
    </w:lvl>
    <w:lvl w:ilvl="5" w:tplc="FC387846" w:tentative="1">
      <w:start w:val="1"/>
      <w:numFmt w:val="lowerRoman"/>
      <w:lvlText w:val="%6."/>
      <w:lvlJc w:val="right"/>
      <w:pPr>
        <w:ind w:left="4320" w:hanging="180"/>
      </w:pPr>
    </w:lvl>
    <w:lvl w:ilvl="6" w:tplc="86EA3E2A" w:tentative="1">
      <w:start w:val="1"/>
      <w:numFmt w:val="decimal"/>
      <w:lvlText w:val="%7."/>
      <w:lvlJc w:val="left"/>
      <w:pPr>
        <w:ind w:left="5040" w:hanging="360"/>
      </w:pPr>
    </w:lvl>
    <w:lvl w:ilvl="7" w:tplc="4EA0DACC" w:tentative="1">
      <w:start w:val="1"/>
      <w:numFmt w:val="lowerLetter"/>
      <w:lvlText w:val="%8."/>
      <w:lvlJc w:val="left"/>
      <w:pPr>
        <w:ind w:left="5760" w:hanging="360"/>
      </w:pPr>
    </w:lvl>
    <w:lvl w:ilvl="8" w:tplc="54D0496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8D21DA8"/>
    <w:multiLevelType w:val="singleLevel"/>
    <w:tmpl w:val="63763C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9">
    <w:nsid w:val="78AC238B"/>
    <w:multiLevelType w:val="singleLevel"/>
    <w:tmpl w:val="84B45DAE"/>
    <w:lvl w:ilvl="0">
      <w:start w:val="1"/>
      <w:numFmt w:val="upperLetter"/>
      <w:lvlText w:val="%1)"/>
      <w:lvlJc w:val="left"/>
      <w:pPr>
        <w:tabs>
          <w:tab w:val="num" w:pos="2770"/>
        </w:tabs>
        <w:ind w:left="2770" w:hanging="360"/>
      </w:pPr>
      <w:rPr>
        <w:rFonts w:hint="default"/>
      </w:rPr>
    </w:lvl>
  </w:abstractNum>
  <w:num w:numId="1">
    <w:abstractNumId w:val="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7"/>
  </w:num>
  <w:num w:numId="3">
    <w:abstractNumId w:val="16"/>
  </w:num>
  <w:num w:numId="4">
    <w:abstractNumId w:val="22"/>
  </w:num>
  <w:num w:numId="5">
    <w:abstractNumId w:val="25"/>
  </w:num>
  <w:num w:numId="6">
    <w:abstractNumId w:val="20"/>
  </w:num>
  <w:num w:numId="7">
    <w:abstractNumId w:val="24"/>
  </w:num>
  <w:num w:numId="8">
    <w:abstractNumId w:val="17"/>
  </w:num>
  <w:num w:numId="9">
    <w:abstractNumId w:val="3"/>
  </w:num>
  <w:num w:numId="10">
    <w:abstractNumId w:val="4"/>
  </w:num>
  <w:num w:numId="11">
    <w:abstractNumId w:val="7"/>
  </w:num>
  <w:num w:numId="12">
    <w:abstractNumId w:val="5"/>
  </w:num>
  <w:num w:numId="13">
    <w:abstractNumId w:val="21"/>
  </w:num>
  <w:num w:numId="14">
    <w:abstractNumId w:val="26"/>
  </w:num>
  <w:num w:numId="15">
    <w:abstractNumId w:val="2"/>
  </w:num>
  <w:num w:numId="16">
    <w:abstractNumId w:val="15"/>
  </w:num>
  <w:num w:numId="17">
    <w:abstractNumId w:val="6"/>
  </w:num>
  <w:num w:numId="18">
    <w:abstractNumId w:val="14"/>
  </w:num>
  <w:num w:numId="19">
    <w:abstractNumId w:val="23"/>
  </w:num>
  <w:num w:numId="20">
    <w:abstractNumId w:val="28"/>
  </w:num>
  <w:num w:numId="21">
    <w:abstractNumId w:val="10"/>
  </w:num>
  <w:num w:numId="22">
    <w:abstractNumId w:val="18"/>
  </w:num>
  <w:num w:numId="23">
    <w:abstractNumId w:val="19"/>
  </w:num>
  <w:num w:numId="24">
    <w:abstractNumId w:val="0"/>
  </w:num>
  <w:num w:numId="25">
    <w:abstractNumId w:val="29"/>
  </w:num>
  <w:num w:numId="26">
    <w:abstractNumId w:val="11"/>
  </w:num>
  <w:num w:numId="27">
    <w:abstractNumId w:val="12"/>
  </w:num>
  <w:num w:numId="28">
    <w:abstractNumId w:val="8"/>
  </w:num>
  <w:num w:numId="29">
    <w:abstractNumId w:val="9"/>
  </w:num>
  <w:num w:numId="30">
    <w:abstractNumId w:val="13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59D5"/>
    <w:rsid w:val="0001518E"/>
    <w:rsid w:val="00034619"/>
    <w:rsid w:val="00050F8B"/>
    <w:rsid w:val="000725E8"/>
    <w:rsid w:val="0008196F"/>
    <w:rsid w:val="0008698B"/>
    <w:rsid w:val="00096416"/>
    <w:rsid w:val="000A54AE"/>
    <w:rsid w:val="000F1FBB"/>
    <w:rsid w:val="000F3ADF"/>
    <w:rsid w:val="000F78B3"/>
    <w:rsid w:val="00137E1D"/>
    <w:rsid w:val="00143A03"/>
    <w:rsid w:val="00144C38"/>
    <w:rsid w:val="00144C77"/>
    <w:rsid w:val="00145F63"/>
    <w:rsid w:val="0015022D"/>
    <w:rsid w:val="00154E5A"/>
    <w:rsid w:val="001716A6"/>
    <w:rsid w:val="00222E04"/>
    <w:rsid w:val="0023247E"/>
    <w:rsid w:val="00252AF4"/>
    <w:rsid w:val="00262B6C"/>
    <w:rsid w:val="00281C15"/>
    <w:rsid w:val="00286576"/>
    <w:rsid w:val="002A49D5"/>
    <w:rsid w:val="002D6A24"/>
    <w:rsid w:val="002E6D0B"/>
    <w:rsid w:val="00305564"/>
    <w:rsid w:val="00322B20"/>
    <w:rsid w:val="00373AF9"/>
    <w:rsid w:val="003917D0"/>
    <w:rsid w:val="003B205F"/>
    <w:rsid w:val="003B4258"/>
    <w:rsid w:val="003B664F"/>
    <w:rsid w:val="00461147"/>
    <w:rsid w:val="0046593B"/>
    <w:rsid w:val="004708F0"/>
    <w:rsid w:val="004E33D6"/>
    <w:rsid w:val="005023CE"/>
    <w:rsid w:val="00527B36"/>
    <w:rsid w:val="005367A2"/>
    <w:rsid w:val="00555667"/>
    <w:rsid w:val="00583853"/>
    <w:rsid w:val="005845F7"/>
    <w:rsid w:val="005B3B80"/>
    <w:rsid w:val="005C2119"/>
    <w:rsid w:val="005C72B7"/>
    <w:rsid w:val="006019AC"/>
    <w:rsid w:val="006724B8"/>
    <w:rsid w:val="0068088B"/>
    <w:rsid w:val="006A4BD7"/>
    <w:rsid w:val="006B1C07"/>
    <w:rsid w:val="006B5487"/>
    <w:rsid w:val="006C77C4"/>
    <w:rsid w:val="006F19F2"/>
    <w:rsid w:val="00723AB2"/>
    <w:rsid w:val="00723D43"/>
    <w:rsid w:val="00734445"/>
    <w:rsid w:val="007668F8"/>
    <w:rsid w:val="007B655F"/>
    <w:rsid w:val="007E7352"/>
    <w:rsid w:val="00820D08"/>
    <w:rsid w:val="008245F9"/>
    <w:rsid w:val="00832449"/>
    <w:rsid w:val="00850539"/>
    <w:rsid w:val="00863657"/>
    <w:rsid w:val="008E1EA4"/>
    <w:rsid w:val="008F7ECF"/>
    <w:rsid w:val="0090050E"/>
    <w:rsid w:val="00921BB1"/>
    <w:rsid w:val="009368B0"/>
    <w:rsid w:val="00975856"/>
    <w:rsid w:val="00983873"/>
    <w:rsid w:val="00990361"/>
    <w:rsid w:val="00A15DE0"/>
    <w:rsid w:val="00A77F99"/>
    <w:rsid w:val="00A90D7D"/>
    <w:rsid w:val="00AD18E2"/>
    <w:rsid w:val="00AD6B07"/>
    <w:rsid w:val="00AE0FD8"/>
    <w:rsid w:val="00AE4CFC"/>
    <w:rsid w:val="00B06D2B"/>
    <w:rsid w:val="00B3737E"/>
    <w:rsid w:val="00B71D82"/>
    <w:rsid w:val="00BA1695"/>
    <w:rsid w:val="00BB1ABB"/>
    <w:rsid w:val="00BC4EC2"/>
    <w:rsid w:val="00BE59D5"/>
    <w:rsid w:val="00BF0E82"/>
    <w:rsid w:val="00C06AC4"/>
    <w:rsid w:val="00C26DBA"/>
    <w:rsid w:val="00C408C6"/>
    <w:rsid w:val="00C75A71"/>
    <w:rsid w:val="00C96774"/>
    <w:rsid w:val="00CC1B1F"/>
    <w:rsid w:val="00CE1926"/>
    <w:rsid w:val="00D26ED3"/>
    <w:rsid w:val="00D349E4"/>
    <w:rsid w:val="00D7314F"/>
    <w:rsid w:val="00D74EBA"/>
    <w:rsid w:val="00D81B93"/>
    <w:rsid w:val="00D839CC"/>
    <w:rsid w:val="00E35394"/>
    <w:rsid w:val="00E44853"/>
    <w:rsid w:val="00E76CC6"/>
    <w:rsid w:val="00E81CC9"/>
    <w:rsid w:val="00E96E3A"/>
    <w:rsid w:val="00EA076D"/>
    <w:rsid w:val="00EC289E"/>
    <w:rsid w:val="00F04CD1"/>
    <w:rsid w:val="00F1135D"/>
    <w:rsid w:val="00F243DE"/>
    <w:rsid w:val="00FB5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59D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autoRedefine/>
    <w:unhideWhenUsed/>
    <w:qFormat/>
    <w:rsid w:val="00F04CD1"/>
    <w:pPr>
      <w:keepNext/>
      <w:tabs>
        <w:tab w:val="left" w:pos="454"/>
      </w:tabs>
      <w:ind w:right="-284"/>
      <w:jc w:val="left"/>
      <w:outlineLvl w:val="1"/>
    </w:pPr>
    <w:rPr>
      <w:b/>
      <w:noProof/>
      <w:spacing w:val="40"/>
      <w:sz w:val="28"/>
      <w:szCs w:val="28"/>
      <w:u w:val="singl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7B655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7B655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nhideWhenUsed/>
    <w:qFormat/>
    <w:rsid w:val="000F3AD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B655F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81B9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81B9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rsid w:val="00F04CD1"/>
    <w:rPr>
      <w:rFonts w:ascii="Times New Roman" w:eastAsia="Times New Roman" w:hAnsi="Times New Roman" w:cs="Times New Roman"/>
      <w:b/>
      <w:noProof/>
      <w:spacing w:val="40"/>
      <w:sz w:val="28"/>
      <w:szCs w:val="28"/>
      <w:u w:val="single"/>
      <w:lang w:eastAsia="fr-FR"/>
    </w:rPr>
  </w:style>
  <w:style w:type="paragraph" w:styleId="Titre">
    <w:name w:val="Title"/>
    <w:basedOn w:val="Normal"/>
    <w:next w:val="Normal"/>
    <w:link w:val="TitreCar"/>
    <w:autoRedefine/>
    <w:qFormat/>
    <w:rsid w:val="007B655F"/>
    <w:pPr>
      <w:pBdr>
        <w:top w:val="single" w:sz="6" w:space="2" w:color="auto"/>
        <w:left w:val="single" w:sz="6" w:space="2" w:color="auto"/>
        <w:bottom w:val="single" w:sz="6" w:space="2" w:color="auto"/>
        <w:right w:val="single" w:sz="6" w:space="2" w:color="auto"/>
      </w:pBdr>
      <w:jc w:val="center"/>
      <w:outlineLvl w:val="0"/>
    </w:pPr>
    <w:rPr>
      <w:b/>
      <w:caps/>
      <w:snapToGrid w:val="0"/>
      <w:spacing w:val="80"/>
      <w:kern w:val="28"/>
      <w:sz w:val="36"/>
      <w:szCs w:val="36"/>
    </w:rPr>
  </w:style>
  <w:style w:type="character" w:customStyle="1" w:styleId="TitreCar">
    <w:name w:val="Titre Car"/>
    <w:basedOn w:val="Policepardfaut"/>
    <w:link w:val="Titre"/>
    <w:rsid w:val="007B655F"/>
    <w:rPr>
      <w:rFonts w:ascii="Times New Roman" w:eastAsia="Times New Roman" w:hAnsi="Times New Roman" w:cs="Times New Roman"/>
      <w:b/>
      <w:caps/>
      <w:snapToGrid w:val="0"/>
      <w:spacing w:val="80"/>
      <w:kern w:val="28"/>
      <w:sz w:val="36"/>
      <w:szCs w:val="36"/>
      <w:lang w:eastAsia="fr-FR"/>
    </w:rPr>
  </w:style>
  <w:style w:type="paragraph" w:customStyle="1" w:styleId="Style4">
    <w:name w:val="Style4"/>
    <w:basedOn w:val="Normal"/>
    <w:rsid w:val="00BE59D5"/>
    <w:pPr>
      <w:numPr>
        <w:numId w:val="1"/>
      </w:numPr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E59D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E59D5"/>
    <w:rPr>
      <w:rFonts w:ascii="Tahoma" w:eastAsia="Times New Roman" w:hAnsi="Tahoma" w:cs="Tahoma"/>
      <w:sz w:val="16"/>
      <w:szCs w:val="16"/>
      <w:lang w:eastAsia="fr-FR"/>
    </w:rPr>
  </w:style>
  <w:style w:type="paragraph" w:styleId="En-tte">
    <w:name w:val="header"/>
    <w:basedOn w:val="Normal"/>
    <w:link w:val="En-tteCar"/>
    <w:unhideWhenUsed/>
    <w:rsid w:val="00BE59D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BE59D5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BE59D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E59D5"/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rsid w:val="00D349E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CE1926"/>
    <w:pPr>
      <w:ind w:left="720"/>
      <w:contextualSpacing/>
    </w:pPr>
  </w:style>
  <w:style w:type="character" w:customStyle="1" w:styleId="Titre5Car">
    <w:name w:val="Titre 5 Car"/>
    <w:basedOn w:val="Policepardfaut"/>
    <w:link w:val="Titre5"/>
    <w:uiPriority w:val="9"/>
    <w:semiHidden/>
    <w:rsid w:val="000F3AD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fr-FR"/>
    </w:rPr>
  </w:style>
  <w:style w:type="paragraph" w:styleId="NormalWeb">
    <w:name w:val="Normal (Web)"/>
    <w:basedOn w:val="Normal"/>
    <w:rsid w:val="000F3ADF"/>
    <w:pPr>
      <w:spacing w:before="100" w:beforeAutospacing="1" w:after="100" w:afterAutospacing="1"/>
      <w:jc w:val="left"/>
    </w:pPr>
  </w:style>
  <w:style w:type="character" w:customStyle="1" w:styleId="Titre3Car">
    <w:name w:val="Titre 3 Car"/>
    <w:basedOn w:val="Policepardfaut"/>
    <w:link w:val="Titre3"/>
    <w:uiPriority w:val="9"/>
    <w:rsid w:val="007B655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fr-FR"/>
    </w:rPr>
  </w:style>
  <w:style w:type="character" w:customStyle="1" w:styleId="Titre4Car">
    <w:name w:val="Titre 4 Car"/>
    <w:basedOn w:val="Policepardfaut"/>
    <w:link w:val="Titre4"/>
    <w:uiPriority w:val="9"/>
    <w:rsid w:val="007B655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7B655F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fr-FR"/>
    </w:rPr>
  </w:style>
  <w:style w:type="paragraph" w:styleId="Retraitcorpsdetexte2">
    <w:name w:val="Body Text Indent 2"/>
    <w:basedOn w:val="Normal"/>
    <w:link w:val="Retraitcorpsdetexte2Car"/>
    <w:rsid w:val="007B655F"/>
    <w:pPr>
      <w:tabs>
        <w:tab w:val="left" w:pos="709"/>
      </w:tabs>
      <w:ind w:left="708"/>
    </w:pPr>
    <w:rPr>
      <w:snapToGrid w:val="0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7B655F"/>
    <w:rPr>
      <w:rFonts w:ascii="Times New Roman" w:eastAsia="Times New Roman" w:hAnsi="Times New Roman" w:cs="Times New Roman"/>
      <w:snapToGrid w:val="0"/>
      <w:sz w:val="24"/>
      <w:szCs w:val="20"/>
      <w:lang w:eastAsia="fr-FR"/>
    </w:rPr>
  </w:style>
  <w:style w:type="paragraph" w:styleId="Corpsdetexte2">
    <w:name w:val="Body Text 2"/>
    <w:basedOn w:val="Normal"/>
    <w:link w:val="Corpsdetexte2Car"/>
    <w:rsid w:val="007B655F"/>
    <w:rPr>
      <w:i/>
      <w:snapToGrid w:val="0"/>
      <w:szCs w:val="20"/>
    </w:rPr>
  </w:style>
  <w:style w:type="character" w:customStyle="1" w:styleId="Corpsdetexte2Car">
    <w:name w:val="Corps de texte 2 Car"/>
    <w:basedOn w:val="Policepardfaut"/>
    <w:link w:val="Corpsdetexte2"/>
    <w:rsid w:val="007B655F"/>
    <w:rPr>
      <w:rFonts w:ascii="Times New Roman" w:eastAsia="Times New Roman" w:hAnsi="Times New Roman" w:cs="Times New Roman"/>
      <w:i/>
      <w:snapToGrid w:val="0"/>
      <w:sz w:val="24"/>
      <w:szCs w:val="20"/>
      <w:lang w:eastAsia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D81B93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D81B9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fr-FR"/>
    </w:rPr>
  </w:style>
  <w:style w:type="paragraph" w:styleId="Retraitcorpsdetexte3">
    <w:name w:val="Body Text Indent 3"/>
    <w:basedOn w:val="Normal"/>
    <w:link w:val="Retraitcorpsdetexte3Car"/>
    <w:uiPriority w:val="99"/>
    <w:semiHidden/>
    <w:unhideWhenUsed/>
    <w:rsid w:val="00D81B93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semiHidden/>
    <w:rsid w:val="00D81B93"/>
    <w:rPr>
      <w:rFonts w:ascii="Times New Roman" w:eastAsia="Times New Roman" w:hAnsi="Times New Roman" w:cs="Times New Roman"/>
      <w:sz w:val="16"/>
      <w:szCs w:val="16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59D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autoRedefine/>
    <w:unhideWhenUsed/>
    <w:qFormat/>
    <w:rsid w:val="00F04CD1"/>
    <w:pPr>
      <w:keepNext/>
      <w:tabs>
        <w:tab w:val="left" w:pos="454"/>
      </w:tabs>
      <w:ind w:right="-284"/>
      <w:jc w:val="left"/>
      <w:outlineLvl w:val="1"/>
    </w:pPr>
    <w:rPr>
      <w:b/>
      <w:noProof/>
      <w:spacing w:val="40"/>
      <w:sz w:val="28"/>
      <w:szCs w:val="28"/>
      <w:u w:val="singl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7B655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7B655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nhideWhenUsed/>
    <w:qFormat/>
    <w:rsid w:val="000F3AD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B655F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81B9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81B9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rsid w:val="00F04CD1"/>
    <w:rPr>
      <w:rFonts w:ascii="Times New Roman" w:eastAsia="Times New Roman" w:hAnsi="Times New Roman" w:cs="Times New Roman"/>
      <w:b/>
      <w:noProof/>
      <w:spacing w:val="40"/>
      <w:sz w:val="28"/>
      <w:szCs w:val="28"/>
      <w:u w:val="single"/>
      <w:lang w:eastAsia="fr-FR"/>
    </w:rPr>
  </w:style>
  <w:style w:type="paragraph" w:styleId="Titre">
    <w:name w:val="Title"/>
    <w:basedOn w:val="Normal"/>
    <w:next w:val="Normal"/>
    <w:link w:val="TitreCar"/>
    <w:autoRedefine/>
    <w:qFormat/>
    <w:rsid w:val="007B655F"/>
    <w:pPr>
      <w:pBdr>
        <w:top w:val="single" w:sz="6" w:space="2" w:color="auto"/>
        <w:left w:val="single" w:sz="6" w:space="2" w:color="auto"/>
        <w:bottom w:val="single" w:sz="6" w:space="2" w:color="auto"/>
        <w:right w:val="single" w:sz="6" w:space="2" w:color="auto"/>
      </w:pBdr>
      <w:jc w:val="center"/>
      <w:outlineLvl w:val="0"/>
    </w:pPr>
    <w:rPr>
      <w:b/>
      <w:caps/>
      <w:snapToGrid w:val="0"/>
      <w:spacing w:val="80"/>
      <w:kern w:val="28"/>
      <w:sz w:val="36"/>
      <w:szCs w:val="36"/>
    </w:rPr>
  </w:style>
  <w:style w:type="character" w:customStyle="1" w:styleId="TitreCar">
    <w:name w:val="Titre Car"/>
    <w:basedOn w:val="Policepardfaut"/>
    <w:link w:val="Titre"/>
    <w:rsid w:val="007B655F"/>
    <w:rPr>
      <w:rFonts w:ascii="Times New Roman" w:eastAsia="Times New Roman" w:hAnsi="Times New Roman" w:cs="Times New Roman"/>
      <w:b/>
      <w:caps/>
      <w:snapToGrid w:val="0"/>
      <w:spacing w:val="80"/>
      <w:kern w:val="28"/>
      <w:sz w:val="36"/>
      <w:szCs w:val="36"/>
      <w:lang w:eastAsia="fr-FR"/>
    </w:rPr>
  </w:style>
  <w:style w:type="paragraph" w:customStyle="1" w:styleId="Style4">
    <w:name w:val="Style4"/>
    <w:basedOn w:val="Normal"/>
    <w:rsid w:val="00BE59D5"/>
    <w:pPr>
      <w:numPr>
        <w:numId w:val="1"/>
      </w:numPr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E59D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E59D5"/>
    <w:rPr>
      <w:rFonts w:ascii="Tahoma" w:eastAsia="Times New Roman" w:hAnsi="Tahoma" w:cs="Tahoma"/>
      <w:sz w:val="16"/>
      <w:szCs w:val="16"/>
      <w:lang w:eastAsia="fr-FR"/>
    </w:rPr>
  </w:style>
  <w:style w:type="paragraph" w:styleId="En-tte">
    <w:name w:val="header"/>
    <w:basedOn w:val="Normal"/>
    <w:link w:val="En-tteCar"/>
    <w:unhideWhenUsed/>
    <w:rsid w:val="00BE59D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BE59D5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BE59D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E59D5"/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rsid w:val="00D349E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CE1926"/>
    <w:pPr>
      <w:ind w:left="720"/>
      <w:contextualSpacing/>
    </w:pPr>
  </w:style>
  <w:style w:type="character" w:customStyle="1" w:styleId="Titre5Car">
    <w:name w:val="Titre 5 Car"/>
    <w:basedOn w:val="Policepardfaut"/>
    <w:link w:val="Titre5"/>
    <w:uiPriority w:val="9"/>
    <w:semiHidden/>
    <w:rsid w:val="000F3AD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fr-FR"/>
    </w:rPr>
  </w:style>
  <w:style w:type="paragraph" w:styleId="NormalWeb">
    <w:name w:val="Normal (Web)"/>
    <w:basedOn w:val="Normal"/>
    <w:rsid w:val="000F3ADF"/>
    <w:pPr>
      <w:spacing w:before="100" w:beforeAutospacing="1" w:after="100" w:afterAutospacing="1"/>
      <w:jc w:val="left"/>
    </w:pPr>
  </w:style>
  <w:style w:type="character" w:customStyle="1" w:styleId="Titre3Car">
    <w:name w:val="Titre 3 Car"/>
    <w:basedOn w:val="Policepardfaut"/>
    <w:link w:val="Titre3"/>
    <w:uiPriority w:val="9"/>
    <w:rsid w:val="007B655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fr-FR"/>
    </w:rPr>
  </w:style>
  <w:style w:type="character" w:customStyle="1" w:styleId="Titre4Car">
    <w:name w:val="Titre 4 Car"/>
    <w:basedOn w:val="Policepardfaut"/>
    <w:link w:val="Titre4"/>
    <w:uiPriority w:val="9"/>
    <w:rsid w:val="007B655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7B655F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fr-FR"/>
    </w:rPr>
  </w:style>
  <w:style w:type="paragraph" w:styleId="Retraitcorpsdetexte2">
    <w:name w:val="Body Text Indent 2"/>
    <w:basedOn w:val="Normal"/>
    <w:link w:val="Retraitcorpsdetexte2Car"/>
    <w:rsid w:val="007B655F"/>
    <w:pPr>
      <w:tabs>
        <w:tab w:val="left" w:pos="709"/>
      </w:tabs>
      <w:ind w:left="708"/>
    </w:pPr>
    <w:rPr>
      <w:snapToGrid w:val="0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7B655F"/>
    <w:rPr>
      <w:rFonts w:ascii="Times New Roman" w:eastAsia="Times New Roman" w:hAnsi="Times New Roman" w:cs="Times New Roman"/>
      <w:snapToGrid w:val="0"/>
      <w:sz w:val="24"/>
      <w:szCs w:val="20"/>
      <w:lang w:eastAsia="fr-FR"/>
    </w:rPr>
  </w:style>
  <w:style w:type="paragraph" w:styleId="Corpsdetexte2">
    <w:name w:val="Body Text 2"/>
    <w:basedOn w:val="Normal"/>
    <w:link w:val="Corpsdetexte2Car"/>
    <w:rsid w:val="007B655F"/>
    <w:rPr>
      <w:i/>
      <w:snapToGrid w:val="0"/>
      <w:szCs w:val="20"/>
    </w:rPr>
  </w:style>
  <w:style w:type="character" w:customStyle="1" w:styleId="Corpsdetexte2Car">
    <w:name w:val="Corps de texte 2 Car"/>
    <w:basedOn w:val="Policepardfaut"/>
    <w:link w:val="Corpsdetexte2"/>
    <w:rsid w:val="007B655F"/>
    <w:rPr>
      <w:rFonts w:ascii="Times New Roman" w:eastAsia="Times New Roman" w:hAnsi="Times New Roman" w:cs="Times New Roman"/>
      <w:i/>
      <w:snapToGrid w:val="0"/>
      <w:sz w:val="24"/>
      <w:szCs w:val="20"/>
      <w:lang w:eastAsia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D81B93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D81B9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fr-FR"/>
    </w:rPr>
  </w:style>
  <w:style w:type="paragraph" w:styleId="Retraitcorpsdetexte3">
    <w:name w:val="Body Text Indent 3"/>
    <w:basedOn w:val="Normal"/>
    <w:link w:val="Retraitcorpsdetexte3Car"/>
    <w:uiPriority w:val="99"/>
    <w:semiHidden/>
    <w:unhideWhenUsed/>
    <w:rsid w:val="00D81B93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semiHidden/>
    <w:rsid w:val="00D81B93"/>
    <w:rPr>
      <w:rFonts w:ascii="Times New Roman" w:eastAsia="Times New Roman" w:hAnsi="Times New Roman" w:cs="Times New Roman"/>
      <w:sz w:val="16"/>
      <w:szCs w:val="16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2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2760</Words>
  <Characters>15180</Characters>
  <Application>Microsoft Office Word</Application>
  <DocSecurity>0</DocSecurity>
  <Lines>126</Lines>
  <Paragraphs>35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berrada</dc:creator>
  <cp:lastModifiedBy>user</cp:lastModifiedBy>
  <cp:revision>2</cp:revision>
  <dcterms:created xsi:type="dcterms:W3CDTF">2023-09-29T17:54:00Z</dcterms:created>
  <dcterms:modified xsi:type="dcterms:W3CDTF">2023-09-29T17:54:00Z</dcterms:modified>
</cp:coreProperties>
</file>